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EA60" w14:textId="1230C8B9" w:rsidR="006C0216" w:rsidRPr="006C0216" w:rsidRDefault="006C0216" w:rsidP="006C0216">
      <w:pPr>
        <w:pStyle w:val="Normlnweb"/>
        <w:jc w:val="both"/>
        <w:rPr>
          <w:rFonts w:ascii="Calibri" w:hAnsi="Calibri" w:cs="Calibri"/>
          <w:b/>
          <w:bCs/>
          <w:sz w:val="32"/>
          <w:szCs w:val="32"/>
        </w:rPr>
      </w:pPr>
      <w:r w:rsidRPr="006C0216">
        <w:rPr>
          <w:rFonts w:ascii="Calibri" w:hAnsi="Calibri" w:cs="Calibri"/>
          <w:b/>
          <w:bCs/>
          <w:sz w:val="32"/>
          <w:szCs w:val="32"/>
        </w:rPr>
        <w:t xml:space="preserve">Index </w:t>
      </w:r>
      <w:proofErr w:type="spellStart"/>
      <w:r w:rsidRPr="006C0216">
        <w:rPr>
          <w:rFonts w:ascii="Calibri" w:hAnsi="Calibri" w:cs="Calibri"/>
          <w:b/>
          <w:bCs/>
          <w:sz w:val="32"/>
          <w:szCs w:val="32"/>
        </w:rPr>
        <w:t>Sreality.cz</w:t>
      </w:r>
      <w:proofErr w:type="spellEnd"/>
      <w:r w:rsidRPr="006C0216">
        <w:rPr>
          <w:rFonts w:ascii="Calibri" w:hAnsi="Calibri" w:cs="Calibri"/>
          <w:b/>
          <w:bCs/>
          <w:sz w:val="32"/>
          <w:szCs w:val="32"/>
        </w:rPr>
        <w:t>: Starší byty v prvním kvartále meziročně zdražily o 15,6 %</w:t>
      </w:r>
    </w:p>
    <w:p w14:paraId="4D3FADEB" w14:textId="0AEF58DE" w:rsidR="006C0216" w:rsidRPr="006C0216" w:rsidRDefault="00203C2C" w:rsidP="006C0216">
      <w:pPr>
        <w:pStyle w:val="Normlnweb"/>
        <w:jc w:val="both"/>
        <w:rPr>
          <w:rFonts w:ascii="Calibri" w:hAnsi="Calibri" w:cs="Calibri"/>
        </w:rPr>
      </w:pPr>
      <w:r w:rsidRPr="006C0216">
        <w:rPr>
          <w:rFonts w:ascii="Calibri" w:hAnsi="Calibri" w:cs="Calibri"/>
          <w:bCs/>
        </w:rPr>
        <w:t xml:space="preserve">Praha, </w:t>
      </w:r>
      <w:r w:rsidR="006C0216">
        <w:rPr>
          <w:rFonts w:ascii="Calibri" w:hAnsi="Calibri" w:cs="Calibri"/>
          <w:bCs/>
        </w:rPr>
        <w:t>20</w:t>
      </w:r>
      <w:r w:rsidR="001205DF" w:rsidRPr="006C0216">
        <w:rPr>
          <w:rFonts w:ascii="Calibri" w:hAnsi="Calibri" w:cs="Calibri"/>
          <w:bCs/>
        </w:rPr>
        <w:t xml:space="preserve">. </w:t>
      </w:r>
      <w:r w:rsidR="006C0216">
        <w:rPr>
          <w:rFonts w:ascii="Calibri" w:hAnsi="Calibri" w:cs="Calibri"/>
          <w:bCs/>
        </w:rPr>
        <w:t>dubna</w:t>
      </w:r>
      <w:r w:rsidRPr="006C0216">
        <w:rPr>
          <w:rFonts w:ascii="Calibri" w:hAnsi="Calibri" w:cs="Calibri"/>
          <w:bCs/>
        </w:rPr>
        <w:t xml:space="preserve"> 20</w:t>
      </w:r>
      <w:r w:rsidR="00B169FA" w:rsidRPr="006C0216">
        <w:rPr>
          <w:rFonts w:ascii="Calibri" w:hAnsi="Calibri" w:cs="Calibri"/>
          <w:bCs/>
        </w:rPr>
        <w:t>2</w:t>
      </w:r>
      <w:r w:rsidR="006C0216" w:rsidRPr="006C0216">
        <w:rPr>
          <w:rFonts w:ascii="Calibri" w:hAnsi="Calibri" w:cs="Calibri"/>
          <w:bCs/>
        </w:rPr>
        <w:t>6</w:t>
      </w:r>
      <w:r w:rsidRPr="006C0216">
        <w:rPr>
          <w:rFonts w:ascii="Calibri" w:hAnsi="Calibri" w:cs="Calibri"/>
          <w:b/>
          <w:bCs/>
        </w:rPr>
        <w:t xml:space="preserve"> </w:t>
      </w:r>
      <w:r w:rsidR="001205DF" w:rsidRPr="006C0216">
        <w:rPr>
          <w:rFonts w:ascii="Calibri" w:hAnsi="Calibri" w:cs="Calibri"/>
          <w:b/>
          <w:bCs/>
        </w:rPr>
        <w:t>–</w:t>
      </w:r>
      <w:r w:rsidRPr="006C0216">
        <w:rPr>
          <w:rFonts w:ascii="Calibri" w:hAnsi="Calibri" w:cs="Calibri"/>
          <w:b/>
          <w:bCs/>
        </w:rPr>
        <w:t xml:space="preserve"> </w:t>
      </w:r>
      <w:r w:rsidR="006C0216" w:rsidRPr="006C0216">
        <w:rPr>
          <w:rFonts w:ascii="Calibri" w:hAnsi="Calibri" w:cs="Calibri"/>
          <w:b/>
          <w:bCs/>
        </w:rPr>
        <w:t>V prvním čtvrtletí roku 2026 byly nabídkové prodejní ceny středně velkých starších</w:t>
      </w:r>
      <w:r w:rsidR="006C0216" w:rsidRPr="006C0216">
        <w:rPr>
          <w:rFonts w:ascii="Calibri" w:hAnsi="Calibri" w:cs="Calibri"/>
        </w:rPr>
        <w:t xml:space="preserve"> </w:t>
      </w:r>
      <w:r w:rsidR="006C0216" w:rsidRPr="006C0216">
        <w:rPr>
          <w:rFonts w:ascii="Calibri" w:hAnsi="Calibri" w:cs="Calibri"/>
          <w:b/>
          <w:bCs/>
        </w:rPr>
        <w:t xml:space="preserve">bytů* v České republice o 15,6 % vyšší než ve stejném období roku předcházejícího. Vyplývá to z aktuálních dat portálu </w:t>
      </w:r>
      <w:hyperlink r:id="rId8" w:tgtFrame="_blank" w:history="1">
        <w:proofErr w:type="spellStart"/>
        <w:r w:rsidR="006C0216" w:rsidRPr="006C0216">
          <w:rPr>
            <w:rFonts w:ascii="Calibri" w:hAnsi="Calibri" w:cs="Calibri"/>
            <w:b/>
            <w:bCs/>
            <w:color w:val="0000FF"/>
            <w:u w:val="single"/>
          </w:rPr>
          <w:t>Sreality.cz</w:t>
        </w:r>
        <w:proofErr w:type="spellEnd"/>
      </w:hyperlink>
      <w:r w:rsidR="006C0216" w:rsidRPr="006C0216">
        <w:rPr>
          <w:rFonts w:ascii="Calibri" w:hAnsi="Calibri" w:cs="Calibri"/>
          <w:b/>
          <w:bCs/>
        </w:rPr>
        <w:t>, která sledují vývoj nabídkových cen bytů v celém Česku.</w:t>
      </w:r>
      <w:r w:rsidR="006C0216" w:rsidRPr="006C0216">
        <w:rPr>
          <w:rFonts w:ascii="Calibri" w:hAnsi="Calibri" w:cs="Calibri"/>
        </w:rPr>
        <w:t xml:space="preserve"> </w:t>
      </w:r>
      <w:r w:rsidR="006C0216" w:rsidRPr="006C0216">
        <w:rPr>
          <w:rFonts w:ascii="Calibri" w:hAnsi="Calibri" w:cs="Calibri"/>
          <w:b/>
          <w:bCs/>
        </w:rPr>
        <w:t>Z krajů byty meziročně nejvíce zdražily v Pardubickém a Ústeckém kraji, a to přibližně o pětinu. </w:t>
      </w:r>
      <w:r w:rsidR="006C0216">
        <w:rPr>
          <w:rFonts w:ascii="Calibri" w:hAnsi="Calibri" w:cs="Calibri"/>
          <w:b/>
          <w:bCs/>
        </w:rPr>
        <w:t>Z další analýzy portálu vyplývá, že starší byty zdražují rychleji než novostavby.</w:t>
      </w:r>
      <w:r w:rsidR="006C0216" w:rsidRPr="006C0216">
        <w:rPr>
          <w:rFonts w:ascii="Calibri" w:hAnsi="Calibri" w:cs="Calibri"/>
          <w:b/>
          <w:bCs/>
        </w:rPr>
        <w:t> </w:t>
      </w:r>
      <w:r w:rsidR="006C0216" w:rsidRPr="006C0216">
        <w:rPr>
          <w:rFonts w:ascii="Calibri" w:hAnsi="Calibri" w:cs="Calibri"/>
        </w:rPr>
        <w:t> </w:t>
      </w:r>
    </w:p>
    <w:p w14:paraId="1EFFE3FE" w14:textId="77777777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V prvním čtvrtletí 2026 byla průměrná nabídková cena bytů v Česku, které byly inzerovány na portálu </w:t>
      </w:r>
      <w:proofErr w:type="spellStart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Sreality.cz</w:t>
      </w:r>
      <w:proofErr w:type="spellEnd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, 89 612 Kč/m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  <w:vertAlign w:val="superscript"/>
        </w:rPr>
        <w:t>2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. V porovnání s prvním kvartálem roku 2025 nabídkové ceny bytů meziročně vzrostly o 15,6 %.  </w:t>
      </w:r>
      <w:r w:rsidRPr="006C0216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„Výrazný cenový růst pokračuje i v letošním roce, a to pěkně svižným tempem. Byty, které už loni doznaly výrazného zdražení, opět rostou na ceně. Tento vývoj v prvním kvartále jsme ale do jisté míry očekávali. Řada drobných soukromých investorů se snažila nakoupit nemovitosti, než vstoupí v platnost nová pravidla pro získávání investičních hypoték,“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komentuje Hana </w:t>
      </w:r>
      <w:proofErr w:type="spellStart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Kontriš</w:t>
      </w:r>
      <w:proofErr w:type="spellEnd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, manažerka Oborových služeb </w:t>
      </w:r>
      <w:proofErr w:type="spellStart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Seznam.cz</w:t>
      </w:r>
      <w:proofErr w:type="spellEnd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. </w:t>
      </w:r>
    </w:p>
    <w:p w14:paraId="59DA5606" w14:textId="77777777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K největšímu nárůstu cen došlo v Pardubickém a Ústeckém kraji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 </w:t>
      </w:r>
    </w:p>
    <w:p w14:paraId="2822FA59" w14:textId="77777777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V porovnání s prvním čtvrtletím roku 2025 vzrostly nabídkové ceny bytů meziročně nejvíce  v </w:t>
      </w:r>
      <w:r w:rsidRPr="006C021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 xml:space="preserve">Pardubickém 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(o 21 %)</w:t>
      </w:r>
      <w:r w:rsidRPr="006C021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 xml:space="preserve"> a Ústeckém kraji 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(o 20 %). Tyto kraje patřily mezi kraje s nejvyšším meziročním růstem cen i v minulém kvartále. Značně vzrostly ceny bytů také například v </w:t>
      </w:r>
      <w:r w:rsidRPr="006C021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 xml:space="preserve">Olomouckém 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(o 16 %), </w:t>
      </w:r>
      <w:r w:rsidRPr="006C021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 xml:space="preserve">Jihočeském, Moravskoslezském či Plzeňském kraji 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(o 15 %). Nejméně naopak ceny bytů rostly v </w:t>
      </w:r>
      <w:r w:rsidRPr="006C021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Královéhradeckém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(o 3 %) a </w:t>
      </w:r>
      <w:r w:rsidRPr="006C021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Libereckém kraji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(o 8 %).   </w:t>
      </w:r>
    </w:p>
    <w:p w14:paraId="60EAFDD3" w14:textId="3BCA8AF1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lastRenderedPageBreak/>
        <w:fldChar w:fldCharType="begin"/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instrText xml:space="preserve"> INCLUDEPICTURE "https://blog.seznam.cz/wp-content/uploads/2026/04/infografika-ceny-bytu-mapa-1024x576.jpg" \* MERGEFORMATINET </w:instrTex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fldChar w:fldCharType="separate"/>
      </w:r>
      <w:r w:rsidRPr="006C0216">
        <w:rPr>
          <w:rFonts w:eastAsia="Times New Roman"/>
          <w:noProof/>
          <w:color w:val="auto"/>
          <w:sz w:val="24"/>
          <w:szCs w:val="24"/>
          <w:bdr w:val="none" w:sz="0" w:space="0" w:color="auto"/>
        </w:rPr>
        <w:drawing>
          <wp:inline distT="0" distB="0" distL="0" distR="0" wp14:anchorId="4CEA9CDD" wp14:editId="384EA2DB">
            <wp:extent cx="5396230" cy="3035300"/>
            <wp:effectExtent l="0" t="0" r="1270" b="0"/>
            <wp:docPr id="120359985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fldChar w:fldCharType="end"/>
      </w:r>
    </w:p>
    <w:p w14:paraId="32186B29" w14:textId="77777777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Postupný růst cen bytů v posledních měsících je patrný i z Indexu </w:t>
      </w:r>
      <w:proofErr w:type="spellStart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Sreality.cz</w:t>
      </w:r>
      <w:proofErr w:type="spellEnd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, který monitoruje vývoj nabídkových cen bytů v dlouhodobé perspektivě. </w:t>
      </w:r>
    </w:p>
    <w:p w14:paraId="6DD3BFC3" w14:textId="1DA263C4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fldChar w:fldCharType="begin"/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instrText xml:space="preserve"> INCLUDEPICTURE "https://blog.seznam.cz/wp-content/uploads/2026/04/index-srealitycz-1024x575.jpg" \* MERGEFORMATINET </w:instrTex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fldChar w:fldCharType="separate"/>
      </w:r>
      <w:r w:rsidRPr="006C0216">
        <w:rPr>
          <w:rFonts w:eastAsia="Times New Roman"/>
          <w:noProof/>
          <w:color w:val="auto"/>
          <w:sz w:val="24"/>
          <w:szCs w:val="24"/>
          <w:bdr w:val="none" w:sz="0" w:space="0" w:color="auto"/>
        </w:rPr>
        <w:drawing>
          <wp:inline distT="0" distB="0" distL="0" distR="0" wp14:anchorId="5F90B369" wp14:editId="33BE1117">
            <wp:extent cx="5396230" cy="3030220"/>
            <wp:effectExtent l="0" t="0" r="1270" b="5080"/>
            <wp:docPr id="7905156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fldChar w:fldCharType="end"/>
      </w:r>
    </w:p>
    <w:p w14:paraId="6F707AB2" w14:textId="77777777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lastRenderedPageBreak/>
        <w:t>Nabídkové ceny starších bytů rostou rychleji než novostaveb. Extrémem je Ústecký kraj </w:t>
      </w:r>
    </w:p>
    <w:p w14:paraId="491FFD38" w14:textId="70C60A40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Dále js</w:t>
      </w:r>
      <w:r>
        <w:rPr>
          <w:rFonts w:eastAsia="Times New Roman"/>
          <w:color w:val="auto"/>
          <w:sz w:val="24"/>
          <w:szCs w:val="24"/>
          <w:bdr w:val="none" w:sz="0" w:space="0" w:color="auto"/>
        </w:rPr>
        <w:t>me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se podívali na tempo růstu cen starších bytů vůči cenám bytů v novostavbách v uplynulých dvanácti měsících**. </w:t>
      </w:r>
      <w:r w:rsidRPr="006C0216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„Ve většině krajů České republiky zdražily meziročně starší byty v tomto období – oproti stejně dlouhému období předcházejícímu – více než nové byty. Rozdíl ve vývoji nabídkových cen u těchto dvou typů bytů je velmi markantní například v Ústeckém kraji. </w:t>
      </w:r>
      <w:r w:rsidRPr="00053807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Zatímco ceny nových bytů při porovnání sledovaných období vzrostly o 3 %, ceny starších bytů vzrostly značně rychleji, a to o 21 %,“</w:t>
      </w: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říká Štěpán Matějka, datový analytik </w:t>
      </w:r>
      <w:proofErr w:type="spellStart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Seznam.cz</w:t>
      </w:r>
      <w:proofErr w:type="spellEnd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.   </w:t>
      </w:r>
    </w:p>
    <w:p w14:paraId="6B421F3D" w14:textId="77777777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Podobně jsou na tom kraje Jihočeský a Zlínský. V Jihočeském kraji rostly ceny starších bytů o 17 % a ceny nových bytů jen o 5 %. Ve Zlínském kraji vzrostly ceny nových bytů o 4 % a starší byty o 14 %. Výraznější růst nabídkových cen starších bytů oproti bytům novým pozorujeme například rovněž u krajů Moravskoslezského, Olomouckého a Plzeňského. </w:t>
      </w:r>
    </w:p>
    <w:p w14:paraId="62B55574" w14:textId="77777777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Najdou se ale i výjimky z trendu. Těmi jsou kraje Liberecký a Pardubický, ve kterých větším tempem rostly nabídkové ceny novostaveb. V krajích Královehradeckém, Jihomoravském a Středočeském rostly ceny starších bytů i novostaveb stejným tempem. </w:t>
      </w:r>
    </w:p>
    <w:p w14:paraId="619C2B5D" w14:textId="77777777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* Do analýzy byly zahrnuty byty inzerované na portále </w:t>
      </w:r>
      <w:proofErr w:type="spellStart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Sreality.cz</w:t>
      </w:r>
      <w:proofErr w:type="spellEnd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o výměře 50 až 80 m² a s dispozicí 2+kk, 2+1, 3+kk, 3+1 (v případě krajů bez ohledu na dispozici), které jsou v osobním vlastnictví a jsou ve velmi dobrém a dobrém stavu nebo jsou po rekonstrukci (nově postavené byty nebyly do analýz zahrnuty).  </w:t>
      </w:r>
    </w:p>
    <w:p w14:paraId="3F388206" w14:textId="77777777" w:rsidR="006C0216" w:rsidRPr="006C0216" w:rsidRDefault="006C0216" w:rsidP="006C0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** Cenový kompas </w:t>
      </w:r>
      <w:proofErr w:type="spellStart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Sreality.cz</w:t>
      </w:r>
      <w:proofErr w:type="spellEnd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– Vývoj nabídkových cen (https://</w:t>
      </w:r>
      <w:proofErr w:type="spellStart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www.sreality.cz</w:t>
      </w:r>
      <w:proofErr w:type="spellEnd"/>
      <w:r w:rsidRPr="006C0216">
        <w:rPr>
          <w:rFonts w:eastAsia="Times New Roman"/>
          <w:color w:val="auto"/>
          <w:sz w:val="24"/>
          <w:szCs w:val="24"/>
          <w:bdr w:val="none" w:sz="0" w:space="0" w:color="auto"/>
        </w:rPr>
        <w:t>/ceny-nemovitosti). Období: uplynulých 12 měsíců (duben 2025 až březen 2026) versus stejně dlouhé období předcházející. Do analýz byly zahrnuty byty o výměře 50 až 80  m², které jsou v osobním vlastnictví a jsou a) ve velmi dobrém stavu, dobrém stavu nebo jsou po rekonstrukci či jsou b) novostavby. Starší byty = byty ve stavu velmi dobrém, dobrém a po rekonstrukci, Novostavby = byty v novostavbách, ve výstavbě a projekty bytů </w:t>
      </w:r>
    </w:p>
    <w:p w14:paraId="721350C3" w14:textId="75E107F4" w:rsidR="00B169FA" w:rsidRPr="006C0216" w:rsidRDefault="00B169FA" w:rsidP="006C0216">
      <w:pPr>
        <w:jc w:val="both"/>
        <w:rPr>
          <w:sz w:val="24"/>
          <w:szCs w:val="24"/>
        </w:rPr>
      </w:pPr>
    </w:p>
    <w:p w14:paraId="1728EB95" w14:textId="77777777" w:rsidR="00E80249" w:rsidRPr="006C0216" w:rsidRDefault="00E80249" w:rsidP="006C0216">
      <w:pPr>
        <w:jc w:val="both"/>
        <w:rPr>
          <w:sz w:val="24"/>
          <w:szCs w:val="24"/>
        </w:rPr>
      </w:pPr>
    </w:p>
    <w:p w14:paraId="1A72867A" w14:textId="77777777" w:rsidR="006C0216" w:rsidRPr="006C0216" w:rsidRDefault="006C0216">
      <w:pPr>
        <w:jc w:val="both"/>
        <w:rPr>
          <w:sz w:val="24"/>
          <w:szCs w:val="24"/>
        </w:rPr>
      </w:pPr>
    </w:p>
    <w:sectPr w:rsidR="006C0216" w:rsidRPr="006C02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67EAF" w14:textId="77777777" w:rsidR="00B35A78" w:rsidRDefault="00B35A78">
      <w:pPr>
        <w:spacing w:after="0" w:line="240" w:lineRule="auto"/>
      </w:pPr>
      <w:r>
        <w:separator/>
      </w:r>
    </w:p>
  </w:endnote>
  <w:endnote w:type="continuationSeparator" w:id="0">
    <w:p w14:paraId="27BBCFD6" w14:textId="77777777" w:rsidR="00B35A78" w:rsidRDefault="00B3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2BF2" w14:textId="77777777" w:rsidR="000712AE" w:rsidRDefault="000712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1F84" w14:textId="77777777" w:rsidR="000712AE" w:rsidRDefault="000712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877A" w14:textId="77777777" w:rsidR="000712AE" w:rsidRDefault="000712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9655B" w14:textId="77777777" w:rsidR="00B35A78" w:rsidRDefault="00B35A78">
      <w:pPr>
        <w:spacing w:after="0" w:line="240" w:lineRule="auto"/>
      </w:pPr>
      <w:r>
        <w:separator/>
      </w:r>
    </w:p>
  </w:footnote>
  <w:footnote w:type="continuationSeparator" w:id="0">
    <w:p w14:paraId="38FC1E7F" w14:textId="77777777" w:rsidR="00B35A78" w:rsidRDefault="00B35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9881" w14:textId="77777777" w:rsidR="000712AE" w:rsidRDefault="000712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4FE5B02A" w:rsidR="00E80249" w:rsidRDefault="000712AE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</w:rPr>
      <w:drawing>
        <wp:inline distT="0" distB="0" distL="0" distR="0" wp14:anchorId="4695C0C2" wp14:editId="39A427C1">
          <wp:extent cx="1972800" cy="258846"/>
          <wp:effectExtent l="0" t="0" r="0" b="8255"/>
          <wp:docPr id="629414476" name="Obrázek 1" descr="Obsah obrázku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414476" name="Obrázek 1" descr="Obsah obrázku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800" cy="258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6E8CD482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2BC164C2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114D" w14:textId="77777777" w:rsidR="000712AE" w:rsidRDefault="00071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36F80"/>
    <w:rsid w:val="00041E8A"/>
    <w:rsid w:val="00043A0F"/>
    <w:rsid w:val="00053807"/>
    <w:rsid w:val="000712AE"/>
    <w:rsid w:val="0008445E"/>
    <w:rsid w:val="000A06DC"/>
    <w:rsid w:val="000B42AF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B7EF4"/>
    <w:rsid w:val="002D185F"/>
    <w:rsid w:val="002D6561"/>
    <w:rsid w:val="002D7A67"/>
    <w:rsid w:val="002E4918"/>
    <w:rsid w:val="00303CA7"/>
    <w:rsid w:val="003D20C0"/>
    <w:rsid w:val="004C261E"/>
    <w:rsid w:val="004D645C"/>
    <w:rsid w:val="004E08EF"/>
    <w:rsid w:val="00523C7E"/>
    <w:rsid w:val="00534BDA"/>
    <w:rsid w:val="0053543A"/>
    <w:rsid w:val="00564A1B"/>
    <w:rsid w:val="005C2F1D"/>
    <w:rsid w:val="00652A76"/>
    <w:rsid w:val="006A0667"/>
    <w:rsid w:val="006A0A21"/>
    <w:rsid w:val="006C0216"/>
    <w:rsid w:val="007273EC"/>
    <w:rsid w:val="00765C66"/>
    <w:rsid w:val="007A1CCA"/>
    <w:rsid w:val="007B7DD5"/>
    <w:rsid w:val="00806E24"/>
    <w:rsid w:val="008479F6"/>
    <w:rsid w:val="00853354"/>
    <w:rsid w:val="008733FD"/>
    <w:rsid w:val="00875C4A"/>
    <w:rsid w:val="008D559D"/>
    <w:rsid w:val="009745F4"/>
    <w:rsid w:val="00977EAF"/>
    <w:rsid w:val="00A05249"/>
    <w:rsid w:val="00A72F15"/>
    <w:rsid w:val="00A956AA"/>
    <w:rsid w:val="00AD49E2"/>
    <w:rsid w:val="00AD558E"/>
    <w:rsid w:val="00AF048B"/>
    <w:rsid w:val="00B05D11"/>
    <w:rsid w:val="00B169FA"/>
    <w:rsid w:val="00B35A78"/>
    <w:rsid w:val="00BC0965"/>
    <w:rsid w:val="00BE6AEE"/>
    <w:rsid w:val="00C44F94"/>
    <w:rsid w:val="00C94537"/>
    <w:rsid w:val="00CC7613"/>
    <w:rsid w:val="00CD2270"/>
    <w:rsid w:val="00CD64ED"/>
    <w:rsid w:val="00D1389E"/>
    <w:rsid w:val="00D23432"/>
    <w:rsid w:val="00D500BB"/>
    <w:rsid w:val="00D67240"/>
    <w:rsid w:val="00D95463"/>
    <w:rsid w:val="00DC252C"/>
    <w:rsid w:val="00DC4776"/>
    <w:rsid w:val="00E03D55"/>
    <w:rsid w:val="00E05F85"/>
    <w:rsid w:val="00E261A2"/>
    <w:rsid w:val="00E6493D"/>
    <w:rsid w:val="00E80249"/>
    <w:rsid w:val="00E81C6A"/>
    <w:rsid w:val="00EF38E5"/>
    <w:rsid w:val="00F129DE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2">
    <w:name w:val="heading 2"/>
    <w:basedOn w:val="Normln"/>
    <w:link w:val="Nadpis2Char"/>
    <w:uiPriority w:val="9"/>
    <w:qFormat/>
    <w:rsid w:val="006C02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6C0216"/>
    <w:rPr>
      <w:rFonts w:eastAsia="Times New Roman"/>
      <w:b/>
      <w:bCs/>
      <w:sz w:val="36"/>
      <w:szCs w:val="3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eality.cz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2</cp:revision>
  <dcterms:created xsi:type="dcterms:W3CDTF">2026-04-20T04:43:00Z</dcterms:created>
  <dcterms:modified xsi:type="dcterms:W3CDTF">2026-04-20T04:43:00Z</dcterms:modified>
</cp:coreProperties>
</file>