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13598F" w14:textId="77777777" w:rsidR="007043B3" w:rsidRPr="007043B3" w:rsidRDefault="007043B3" w:rsidP="007043B3">
      <w:pPr>
        <w:jc w:val="both"/>
        <w:rPr>
          <w:b/>
          <w:bCs/>
          <w:sz w:val="32"/>
          <w:szCs w:val="32"/>
        </w:rPr>
      </w:pPr>
      <w:r w:rsidRPr="007043B3">
        <w:rPr>
          <w:b/>
          <w:bCs/>
          <w:sz w:val="32"/>
          <w:szCs w:val="32"/>
        </w:rPr>
        <w:t xml:space="preserve">Studenti letos za nájemní bydlení zaplatí více než před rokem. Dráž vyjdou malé byty i pokoje ve sdílených bytech </w:t>
      </w:r>
    </w:p>
    <w:p w14:paraId="0AB954B3" w14:textId="0AAB60FA" w:rsidR="007043B3" w:rsidRPr="007043B3" w:rsidRDefault="00203C2C" w:rsidP="007043B3">
      <w:pPr>
        <w:pStyle w:val="wp-block-paragraph"/>
        <w:jc w:val="both"/>
        <w:rPr>
          <w:rFonts w:ascii="Calibri" w:hAnsi="Calibri" w:cs="Calibri"/>
          <w:sz w:val="28"/>
          <w:szCs w:val="28"/>
        </w:rPr>
      </w:pPr>
      <w:r w:rsidRPr="007043B3">
        <w:rPr>
          <w:rFonts w:ascii="Calibri" w:hAnsi="Calibri" w:cs="Calibri"/>
          <w:bCs/>
          <w:sz w:val="28"/>
          <w:szCs w:val="28"/>
        </w:rPr>
        <w:t xml:space="preserve">Praha, </w:t>
      </w:r>
      <w:r w:rsidR="00F54CFB">
        <w:rPr>
          <w:rFonts w:ascii="Calibri" w:hAnsi="Calibri" w:cs="Calibri"/>
          <w:bCs/>
          <w:sz w:val="28"/>
          <w:szCs w:val="28"/>
        </w:rPr>
        <w:t>6</w:t>
      </w:r>
      <w:r w:rsidR="001205DF" w:rsidRPr="007043B3">
        <w:rPr>
          <w:rFonts w:ascii="Calibri" w:hAnsi="Calibri" w:cs="Calibri"/>
          <w:bCs/>
          <w:sz w:val="28"/>
          <w:szCs w:val="28"/>
        </w:rPr>
        <w:t xml:space="preserve">. </w:t>
      </w:r>
      <w:r w:rsidR="007043B3">
        <w:rPr>
          <w:rFonts w:ascii="Calibri" w:hAnsi="Calibri" w:cs="Calibri"/>
          <w:bCs/>
          <w:sz w:val="28"/>
          <w:szCs w:val="28"/>
        </w:rPr>
        <w:t>srpna</w:t>
      </w:r>
      <w:r w:rsidRPr="007043B3">
        <w:rPr>
          <w:rFonts w:ascii="Calibri" w:hAnsi="Calibri" w:cs="Calibri"/>
          <w:bCs/>
          <w:sz w:val="28"/>
          <w:szCs w:val="28"/>
        </w:rPr>
        <w:t xml:space="preserve"> 20</w:t>
      </w:r>
      <w:r w:rsidR="00B169FA" w:rsidRPr="007043B3">
        <w:rPr>
          <w:rFonts w:ascii="Calibri" w:hAnsi="Calibri" w:cs="Calibri"/>
          <w:bCs/>
          <w:sz w:val="28"/>
          <w:szCs w:val="28"/>
        </w:rPr>
        <w:t>2</w:t>
      </w:r>
      <w:r w:rsidR="007043B3">
        <w:rPr>
          <w:rFonts w:ascii="Calibri" w:hAnsi="Calibri" w:cs="Calibri"/>
          <w:bCs/>
          <w:sz w:val="28"/>
          <w:szCs w:val="28"/>
        </w:rPr>
        <w:t>6</w:t>
      </w:r>
      <w:r w:rsidRPr="007043B3">
        <w:rPr>
          <w:rFonts w:ascii="Calibri" w:hAnsi="Calibri" w:cs="Calibri"/>
          <w:b/>
          <w:bCs/>
          <w:sz w:val="28"/>
          <w:szCs w:val="28"/>
        </w:rPr>
        <w:t xml:space="preserve"> </w:t>
      </w:r>
      <w:r w:rsidR="001205DF" w:rsidRPr="007043B3">
        <w:rPr>
          <w:rFonts w:ascii="Calibri" w:hAnsi="Calibri" w:cs="Calibri"/>
          <w:b/>
          <w:bCs/>
          <w:sz w:val="28"/>
          <w:szCs w:val="28"/>
        </w:rPr>
        <w:t>–</w:t>
      </w:r>
      <w:r w:rsidRPr="007043B3">
        <w:rPr>
          <w:rFonts w:ascii="Calibri" w:hAnsi="Calibri" w:cs="Calibri"/>
          <w:b/>
          <w:bCs/>
          <w:sz w:val="28"/>
          <w:szCs w:val="28"/>
        </w:rPr>
        <w:t xml:space="preserve"> </w:t>
      </w:r>
      <w:r w:rsidR="007043B3" w:rsidRPr="007043B3">
        <w:rPr>
          <w:rFonts w:ascii="Calibri" w:hAnsi="Calibri" w:cs="Calibri"/>
          <w:b/>
          <w:bCs/>
          <w:sz w:val="28"/>
          <w:szCs w:val="28"/>
        </w:rPr>
        <w:t xml:space="preserve">Z analýzy portálu </w:t>
      </w:r>
      <w:hyperlink r:id="rId8" w:tgtFrame="_blank" w:history="1">
        <w:proofErr w:type="spellStart"/>
        <w:r w:rsidR="007043B3" w:rsidRPr="007043B3">
          <w:rPr>
            <w:rFonts w:ascii="Calibri" w:hAnsi="Calibri" w:cs="Calibri"/>
            <w:b/>
            <w:bCs/>
            <w:color w:val="0000FF"/>
            <w:sz w:val="28"/>
            <w:szCs w:val="28"/>
            <w:u w:val="single"/>
          </w:rPr>
          <w:t>Sreality.cz</w:t>
        </w:r>
        <w:proofErr w:type="spellEnd"/>
        <w:r w:rsidR="007043B3" w:rsidRPr="007043B3">
          <w:rPr>
            <w:rFonts w:ascii="Calibri" w:hAnsi="Calibri" w:cs="Calibri"/>
            <w:b/>
            <w:bCs/>
            <w:color w:val="0000FF"/>
            <w:sz w:val="28"/>
            <w:szCs w:val="28"/>
            <w:u w:val="single"/>
          </w:rPr>
          <w:t>*</w:t>
        </w:r>
      </w:hyperlink>
      <w:r w:rsidR="007043B3" w:rsidRPr="007043B3">
        <w:rPr>
          <w:rFonts w:ascii="Calibri" w:hAnsi="Calibri" w:cs="Calibri"/>
          <w:b/>
          <w:bCs/>
          <w:sz w:val="28"/>
          <w:szCs w:val="28"/>
        </w:rPr>
        <w:t>, která se zaměřuje na města, ve kterých sídlí veřejné vysoké školy, vyplývá, že rostou nabídkové ceny prakticky všech typů soukromého studentského bydlení. Nejlevněji vycházejí pokoje ve sdílených bytech**, a to v Opavě nebo Ústí nad Labem. Nejvíce zaplatí studenti za bydlení v Praze a Brně.</w:t>
      </w:r>
      <w:r w:rsidR="007043B3" w:rsidRPr="007043B3">
        <w:rPr>
          <w:rFonts w:ascii="Calibri" w:hAnsi="Calibri" w:cs="Calibri"/>
          <w:sz w:val="28"/>
          <w:szCs w:val="28"/>
        </w:rPr>
        <w:t> </w:t>
      </w:r>
    </w:p>
    <w:p w14:paraId="02F31D3D"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Sdílení vícepokojového bytu několika studenty či pronájem samostatně inzerovaných pokojů je pro studenty výrazně levnější variantou nájemního bydlení než pronájem malého bytu či garsoniéry. Situace ve městech se značně liší, pokud jde o výši nájemného. Nejlevněji dlouhodobě vychází bydlení ve sdíleném bytě v Opavě, Ústí nad Labem a Ostravě. „</w:t>
      </w:r>
      <w:r w:rsidRPr="007043B3">
        <w:rPr>
          <w:rFonts w:eastAsia="Times New Roman"/>
          <w:i/>
          <w:iCs/>
          <w:color w:val="auto"/>
          <w:sz w:val="28"/>
          <w:szCs w:val="28"/>
          <w:bdr w:val="none" w:sz="0" w:space="0" w:color="auto"/>
        </w:rPr>
        <w:t>Ve všech tuzemských univerzitních městech se ale meziročně zvýšila i mediánová*** cena pokoje ve sdíleném bytě,“</w:t>
      </w:r>
      <w:r w:rsidRPr="007043B3">
        <w:rPr>
          <w:rFonts w:eastAsia="Times New Roman"/>
          <w:color w:val="auto"/>
          <w:sz w:val="28"/>
          <w:szCs w:val="28"/>
          <w:bdr w:val="none" w:sz="0" w:space="0" w:color="auto"/>
        </w:rPr>
        <w:t xml:space="preserve"> říká Štěpán Matějka, datový analytik </w:t>
      </w:r>
      <w:proofErr w:type="spellStart"/>
      <w:r w:rsidRPr="007043B3">
        <w:rPr>
          <w:rFonts w:eastAsia="Times New Roman"/>
          <w:color w:val="auto"/>
          <w:sz w:val="28"/>
          <w:szCs w:val="28"/>
          <w:bdr w:val="none" w:sz="0" w:space="0" w:color="auto"/>
        </w:rPr>
        <w:t>Sreality.cz</w:t>
      </w:r>
      <w:proofErr w:type="spellEnd"/>
      <w:r w:rsidRPr="007043B3">
        <w:rPr>
          <w:rFonts w:eastAsia="Times New Roman"/>
          <w:color w:val="auto"/>
          <w:sz w:val="28"/>
          <w:szCs w:val="28"/>
          <w:bdr w:val="none" w:sz="0" w:space="0" w:color="auto"/>
        </w:rPr>
        <w:t>. </w:t>
      </w:r>
    </w:p>
    <w:p w14:paraId="43B56834"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xml:space="preserve">Největšího procentuálního zdražení doznaly mediánové ceny pokojů ve větších sdílených bytech ve městech Pardubice a Ostrava. </w:t>
      </w:r>
      <w:r w:rsidRPr="007043B3">
        <w:rPr>
          <w:rFonts w:eastAsia="Times New Roman"/>
          <w:i/>
          <w:iCs/>
          <w:color w:val="auto"/>
          <w:sz w:val="28"/>
          <w:szCs w:val="28"/>
          <w:bdr w:val="none" w:sz="0" w:space="0" w:color="auto"/>
        </w:rPr>
        <w:t>„V Pardubickém kraji pozorujeme zdražování cen bytů i nájmů a pochopitelně se to pak dotýká i studentů, kteří chtějí bydlet v soukromí. Mediánová cena pokoje ve sdíleném bytě zde meziročně stoupla o 14 %. V Ostravě se zdražovalo o 13 %,“</w:t>
      </w:r>
      <w:r w:rsidRPr="007043B3">
        <w:rPr>
          <w:rFonts w:eastAsia="Times New Roman"/>
          <w:color w:val="auto"/>
          <w:sz w:val="28"/>
          <w:szCs w:val="28"/>
          <w:bdr w:val="none" w:sz="0" w:space="0" w:color="auto"/>
        </w:rPr>
        <w:t xml:space="preserve"> uvádí Hana </w:t>
      </w:r>
      <w:proofErr w:type="spellStart"/>
      <w:r w:rsidRPr="007043B3">
        <w:rPr>
          <w:rFonts w:eastAsia="Times New Roman"/>
          <w:color w:val="auto"/>
          <w:sz w:val="28"/>
          <w:szCs w:val="28"/>
          <w:bdr w:val="none" w:sz="0" w:space="0" w:color="auto"/>
        </w:rPr>
        <w:t>Kontriš</w:t>
      </w:r>
      <w:proofErr w:type="spellEnd"/>
      <w:r w:rsidRPr="007043B3">
        <w:rPr>
          <w:rFonts w:eastAsia="Times New Roman"/>
          <w:color w:val="auto"/>
          <w:sz w:val="28"/>
          <w:szCs w:val="28"/>
          <w:bdr w:val="none" w:sz="0" w:space="0" w:color="auto"/>
        </w:rPr>
        <w:t xml:space="preserve">, manažerka Oborových služeb </w:t>
      </w:r>
      <w:proofErr w:type="spellStart"/>
      <w:r w:rsidRPr="007043B3">
        <w:rPr>
          <w:rFonts w:eastAsia="Times New Roman"/>
          <w:color w:val="auto"/>
          <w:sz w:val="28"/>
          <w:szCs w:val="28"/>
          <w:bdr w:val="none" w:sz="0" w:space="0" w:color="auto"/>
        </w:rPr>
        <w:t>Seznam.cz</w:t>
      </w:r>
      <w:proofErr w:type="spellEnd"/>
      <w:r w:rsidRPr="007043B3">
        <w:rPr>
          <w:rFonts w:eastAsia="Times New Roman"/>
          <w:color w:val="auto"/>
          <w:sz w:val="28"/>
          <w:szCs w:val="28"/>
          <w:bdr w:val="none" w:sz="0" w:space="0" w:color="auto"/>
        </w:rPr>
        <w:t>. </w:t>
      </w:r>
    </w:p>
    <w:p w14:paraId="216B71D4"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xml:space="preserve">Náklady na bydlení v univerzitních městech, představují pro vysokoškolské studenty jeden z podstatných výdajů. Zejména pro ty, kteří se chystají studovat v největších městech. </w:t>
      </w:r>
      <w:r w:rsidRPr="007043B3">
        <w:rPr>
          <w:rFonts w:eastAsia="Times New Roman"/>
          <w:i/>
          <w:iCs/>
          <w:color w:val="auto"/>
          <w:sz w:val="28"/>
          <w:szCs w:val="28"/>
          <w:bdr w:val="none" w:sz="0" w:space="0" w:color="auto"/>
        </w:rPr>
        <w:t>„Nejdráže vychází pronájem garsoniér, malých samostatných bytů i vícepokojových bytů určených ke sdílenému bydlení v Praze a Brně. Za malý byt v Praze dá student zhruba 21 tisíc korun</w:t>
      </w:r>
      <w:r w:rsidRPr="007043B3">
        <w:rPr>
          <w:rFonts w:eastAsia="Times New Roman"/>
          <w:color w:val="auto"/>
          <w:sz w:val="28"/>
          <w:szCs w:val="28"/>
          <w:bdr w:val="none" w:sz="0" w:space="0" w:color="auto"/>
        </w:rPr>
        <w:t xml:space="preserve"> ***</w:t>
      </w:r>
      <w:r w:rsidRPr="007043B3">
        <w:rPr>
          <w:rFonts w:eastAsia="Times New Roman"/>
          <w:i/>
          <w:iCs/>
          <w:color w:val="auto"/>
          <w:sz w:val="28"/>
          <w:szCs w:val="28"/>
          <w:bdr w:val="none" w:sz="0" w:space="0" w:color="auto"/>
        </w:rPr>
        <w:t>, což už velmi těžko zaplatí z občasné brigády. Pokud zvolí variantu bydlení v pokoji ve sdíleném větším bytě, pak zpravidla výrazně ušetří,“</w:t>
      </w:r>
      <w:r w:rsidRPr="007043B3">
        <w:rPr>
          <w:rFonts w:eastAsia="Times New Roman"/>
          <w:color w:val="auto"/>
          <w:sz w:val="28"/>
          <w:szCs w:val="28"/>
          <w:bdr w:val="none" w:sz="0" w:space="0" w:color="auto"/>
        </w:rPr>
        <w:t xml:space="preserve"> říká Štěpán Matějka, datový analytik </w:t>
      </w:r>
      <w:proofErr w:type="spellStart"/>
      <w:r w:rsidRPr="007043B3">
        <w:rPr>
          <w:rFonts w:eastAsia="Times New Roman"/>
          <w:color w:val="auto"/>
          <w:sz w:val="28"/>
          <w:szCs w:val="28"/>
          <w:bdr w:val="none" w:sz="0" w:space="0" w:color="auto"/>
        </w:rPr>
        <w:t>Sreality.cz</w:t>
      </w:r>
      <w:proofErr w:type="spellEnd"/>
      <w:r w:rsidRPr="007043B3">
        <w:rPr>
          <w:rFonts w:eastAsia="Times New Roman"/>
          <w:color w:val="auto"/>
          <w:sz w:val="28"/>
          <w:szCs w:val="28"/>
          <w:bdr w:val="none" w:sz="0" w:space="0" w:color="auto"/>
        </w:rPr>
        <w:t>. </w:t>
      </w:r>
    </w:p>
    <w:p w14:paraId="31FAA1D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b/>
          <w:bCs/>
          <w:color w:val="auto"/>
          <w:sz w:val="28"/>
          <w:szCs w:val="28"/>
          <w:bdr w:val="none" w:sz="0" w:space="0" w:color="auto"/>
        </w:rPr>
        <w:lastRenderedPageBreak/>
        <w:t xml:space="preserve">Nabídková výše nájmů za samostatný pokoj ve sdíleném velkém bytě (2+1, 3+1, 3+kk, 4+1, 4+kk)* ve vybraných univerzitních městech ČR, které byly inzerovány na </w:t>
      </w:r>
      <w:proofErr w:type="spellStart"/>
      <w:r w:rsidRPr="007043B3">
        <w:rPr>
          <w:rFonts w:eastAsia="Times New Roman"/>
          <w:b/>
          <w:bCs/>
          <w:color w:val="auto"/>
          <w:sz w:val="28"/>
          <w:szCs w:val="28"/>
          <w:bdr w:val="none" w:sz="0" w:space="0" w:color="auto"/>
        </w:rPr>
        <w:t>Sreality.cz</w:t>
      </w:r>
      <w:proofErr w:type="spellEnd"/>
      <w:r w:rsidRPr="007043B3">
        <w:rPr>
          <w:rFonts w:eastAsia="Times New Roman"/>
          <w:b/>
          <w:bCs/>
          <w:color w:val="auto"/>
          <w:sz w:val="28"/>
          <w:szCs w:val="28"/>
          <w:bdr w:val="none" w:sz="0" w:space="0" w:color="auto"/>
        </w:rPr>
        <w:t xml:space="preserve"> ve 2. čtvrtletí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0"/>
        <w:gridCol w:w="1633"/>
        <w:gridCol w:w="4955"/>
      </w:tblGrid>
      <w:tr w:rsidR="007043B3" w:rsidRPr="007043B3" w14:paraId="41D1DDFE" w14:textId="77777777">
        <w:trPr>
          <w:tblCellSpacing w:w="15" w:type="dxa"/>
        </w:trPr>
        <w:tc>
          <w:tcPr>
            <w:tcW w:w="0" w:type="auto"/>
            <w:vAlign w:val="center"/>
            <w:hideMark/>
          </w:tcPr>
          <w:p w14:paraId="771E938F"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b/>
                <w:bCs/>
                <w:color w:val="auto"/>
                <w:sz w:val="28"/>
                <w:szCs w:val="28"/>
                <w:bdr w:val="none" w:sz="0" w:space="0" w:color="auto"/>
              </w:rPr>
              <w:t>Univerzitní město</w:t>
            </w:r>
          </w:p>
        </w:tc>
        <w:tc>
          <w:tcPr>
            <w:tcW w:w="0" w:type="auto"/>
            <w:vAlign w:val="center"/>
            <w:hideMark/>
          </w:tcPr>
          <w:p w14:paraId="6B0FBD79"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b/>
                <w:bCs/>
                <w:color w:val="auto"/>
                <w:sz w:val="28"/>
                <w:szCs w:val="28"/>
                <w:bdr w:val="none" w:sz="0" w:space="0" w:color="auto"/>
              </w:rPr>
              <w:t xml:space="preserve">Medián cen *** </w:t>
            </w:r>
          </w:p>
        </w:tc>
        <w:tc>
          <w:tcPr>
            <w:tcW w:w="0" w:type="auto"/>
            <w:vAlign w:val="center"/>
            <w:hideMark/>
          </w:tcPr>
          <w:p w14:paraId="55E4B3C8"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b/>
                <w:bCs/>
                <w:color w:val="auto"/>
                <w:sz w:val="28"/>
                <w:szCs w:val="28"/>
                <w:bdr w:val="none" w:sz="0" w:space="0" w:color="auto"/>
              </w:rPr>
              <w:t>Meziroční změna mediánu v % (oproti 2. čtvrtletí 2025)</w:t>
            </w:r>
          </w:p>
        </w:tc>
      </w:tr>
      <w:tr w:rsidR="007043B3" w:rsidRPr="007043B3" w14:paraId="303B7286" w14:textId="77777777">
        <w:trPr>
          <w:tblCellSpacing w:w="15" w:type="dxa"/>
        </w:trPr>
        <w:tc>
          <w:tcPr>
            <w:tcW w:w="0" w:type="auto"/>
            <w:vAlign w:val="center"/>
            <w:hideMark/>
          </w:tcPr>
          <w:p w14:paraId="2B3E270D"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Brno</w:t>
            </w:r>
          </w:p>
        </w:tc>
        <w:tc>
          <w:tcPr>
            <w:tcW w:w="0" w:type="auto"/>
            <w:vAlign w:val="center"/>
            <w:hideMark/>
          </w:tcPr>
          <w:p w14:paraId="0A6CE608"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9 450</w:t>
            </w:r>
          </w:p>
        </w:tc>
        <w:tc>
          <w:tcPr>
            <w:tcW w:w="0" w:type="auto"/>
            <w:vAlign w:val="center"/>
            <w:hideMark/>
          </w:tcPr>
          <w:p w14:paraId="0EC17F40"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+8 %</w:t>
            </w:r>
          </w:p>
        </w:tc>
      </w:tr>
      <w:tr w:rsidR="007043B3" w:rsidRPr="007043B3" w14:paraId="1677710A" w14:textId="77777777">
        <w:trPr>
          <w:tblCellSpacing w:w="15" w:type="dxa"/>
        </w:trPr>
        <w:tc>
          <w:tcPr>
            <w:tcW w:w="0" w:type="auto"/>
            <w:vAlign w:val="center"/>
            <w:hideMark/>
          </w:tcPr>
          <w:p w14:paraId="73A541F6"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Hradec Králové</w:t>
            </w:r>
          </w:p>
        </w:tc>
        <w:tc>
          <w:tcPr>
            <w:tcW w:w="0" w:type="auto"/>
            <w:vAlign w:val="center"/>
            <w:hideMark/>
          </w:tcPr>
          <w:p w14:paraId="25E07EEB"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7 750</w:t>
            </w:r>
          </w:p>
        </w:tc>
        <w:tc>
          <w:tcPr>
            <w:tcW w:w="0" w:type="auto"/>
            <w:vAlign w:val="center"/>
            <w:hideMark/>
          </w:tcPr>
          <w:p w14:paraId="3071BD49"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+3 %</w:t>
            </w:r>
          </w:p>
        </w:tc>
      </w:tr>
      <w:tr w:rsidR="007043B3" w:rsidRPr="007043B3" w14:paraId="73496C5E" w14:textId="77777777">
        <w:trPr>
          <w:tblCellSpacing w:w="15" w:type="dxa"/>
        </w:trPr>
        <w:tc>
          <w:tcPr>
            <w:tcW w:w="0" w:type="auto"/>
            <w:vAlign w:val="center"/>
            <w:hideMark/>
          </w:tcPr>
          <w:p w14:paraId="7F384619"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Jihlava</w:t>
            </w:r>
          </w:p>
        </w:tc>
        <w:tc>
          <w:tcPr>
            <w:tcW w:w="0" w:type="auto"/>
            <w:vAlign w:val="center"/>
            <w:hideMark/>
          </w:tcPr>
          <w:p w14:paraId="2CE63980"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6 500</w:t>
            </w:r>
          </w:p>
        </w:tc>
        <w:tc>
          <w:tcPr>
            <w:tcW w:w="0" w:type="auto"/>
            <w:vAlign w:val="center"/>
            <w:hideMark/>
          </w:tcPr>
          <w:p w14:paraId="1738A61D"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+8 %</w:t>
            </w:r>
          </w:p>
        </w:tc>
      </w:tr>
      <w:tr w:rsidR="007043B3" w:rsidRPr="007043B3" w14:paraId="12828772" w14:textId="77777777">
        <w:trPr>
          <w:tblCellSpacing w:w="15" w:type="dxa"/>
        </w:trPr>
        <w:tc>
          <w:tcPr>
            <w:tcW w:w="0" w:type="auto"/>
            <w:vAlign w:val="center"/>
            <w:hideMark/>
          </w:tcPr>
          <w:p w14:paraId="62CF3713"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Liberec</w:t>
            </w:r>
          </w:p>
        </w:tc>
        <w:tc>
          <w:tcPr>
            <w:tcW w:w="0" w:type="auto"/>
            <w:vAlign w:val="center"/>
            <w:hideMark/>
          </w:tcPr>
          <w:p w14:paraId="4280C784"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7 000</w:t>
            </w:r>
          </w:p>
        </w:tc>
        <w:tc>
          <w:tcPr>
            <w:tcW w:w="0" w:type="auto"/>
            <w:vAlign w:val="center"/>
            <w:hideMark/>
          </w:tcPr>
          <w:p w14:paraId="6172F735"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+8 %</w:t>
            </w:r>
          </w:p>
        </w:tc>
      </w:tr>
      <w:tr w:rsidR="007043B3" w:rsidRPr="007043B3" w14:paraId="472694EF" w14:textId="77777777">
        <w:trPr>
          <w:tblCellSpacing w:w="15" w:type="dxa"/>
        </w:trPr>
        <w:tc>
          <w:tcPr>
            <w:tcW w:w="0" w:type="auto"/>
            <w:vAlign w:val="center"/>
            <w:hideMark/>
          </w:tcPr>
          <w:p w14:paraId="3492D610"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Olomouc</w:t>
            </w:r>
          </w:p>
        </w:tc>
        <w:tc>
          <w:tcPr>
            <w:tcW w:w="0" w:type="auto"/>
            <w:vAlign w:val="center"/>
            <w:hideMark/>
          </w:tcPr>
          <w:p w14:paraId="002AFFC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7 000</w:t>
            </w:r>
          </w:p>
        </w:tc>
        <w:tc>
          <w:tcPr>
            <w:tcW w:w="0" w:type="auto"/>
            <w:vAlign w:val="center"/>
            <w:hideMark/>
          </w:tcPr>
          <w:p w14:paraId="0CA23DB9"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+6 %</w:t>
            </w:r>
          </w:p>
        </w:tc>
      </w:tr>
      <w:tr w:rsidR="007043B3" w:rsidRPr="007043B3" w14:paraId="6F9DB713" w14:textId="77777777">
        <w:trPr>
          <w:tblCellSpacing w:w="15" w:type="dxa"/>
        </w:trPr>
        <w:tc>
          <w:tcPr>
            <w:tcW w:w="0" w:type="auto"/>
            <w:vAlign w:val="center"/>
            <w:hideMark/>
          </w:tcPr>
          <w:p w14:paraId="2E2C7BEB"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Opava</w:t>
            </w:r>
          </w:p>
        </w:tc>
        <w:tc>
          <w:tcPr>
            <w:tcW w:w="0" w:type="auto"/>
            <w:vAlign w:val="center"/>
            <w:hideMark/>
          </w:tcPr>
          <w:p w14:paraId="7B9AAE86"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5 667</w:t>
            </w:r>
          </w:p>
        </w:tc>
        <w:tc>
          <w:tcPr>
            <w:tcW w:w="0" w:type="auto"/>
            <w:vAlign w:val="center"/>
            <w:hideMark/>
          </w:tcPr>
          <w:p w14:paraId="782647CF"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+3 %</w:t>
            </w:r>
          </w:p>
        </w:tc>
      </w:tr>
      <w:tr w:rsidR="007043B3" w:rsidRPr="007043B3" w14:paraId="589B4329" w14:textId="77777777">
        <w:trPr>
          <w:tblCellSpacing w:w="15" w:type="dxa"/>
        </w:trPr>
        <w:tc>
          <w:tcPr>
            <w:tcW w:w="0" w:type="auto"/>
            <w:vAlign w:val="center"/>
            <w:hideMark/>
          </w:tcPr>
          <w:p w14:paraId="10853CE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Ostrava</w:t>
            </w:r>
          </w:p>
        </w:tc>
        <w:tc>
          <w:tcPr>
            <w:tcW w:w="0" w:type="auto"/>
            <w:vAlign w:val="center"/>
            <w:hideMark/>
          </w:tcPr>
          <w:p w14:paraId="627D49A5"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6 225</w:t>
            </w:r>
          </w:p>
        </w:tc>
        <w:tc>
          <w:tcPr>
            <w:tcW w:w="0" w:type="auto"/>
            <w:vAlign w:val="center"/>
            <w:hideMark/>
          </w:tcPr>
          <w:p w14:paraId="7B7F2AD6"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+13 %</w:t>
            </w:r>
          </w:p>
        </w:tc>
      </w:tr>
      <w:tr w:rsidR="007043B3" w:rsidRPr="007043B3" w14:paraId="53BA12E4" w14:textId="77777777">
        <w:trPr>
          <w:tblCellSpacing w:w="15" w:type="dxa"/>
        </w:trPr>
        <w:tc>
          <w:tcPr>
            <w:tcW w:w="0" w:type="auto"/>
            <w:vAlign w:val="center"/>
            <w:hideMark/>
          </w:tcPr>
          <w:p w14:paraId="576C59A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Pardubice</w:t>
            </w:r>
          </w:p>
        </w:tc>
        <w:tc>
          <w:tcPr>
            <w:tcW w:w="0" w:type="auto"/>
            <w:vAlign w:val="center"/>
            <w:hideMark/>
          </w:tcPr>
          <w:p w14:paraId="72B7583E"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7 706</w:t>
            </w:r>
          </w:p>
        </w:tc>
        <w:tc>
          <w:tcPr>
            <w:tcW w:w="0" w:type="auto"/>
            <w:vAlign w:val="center"/>
            <w:hideMark/>
          </w:tcPr>
          <w:p w14:paraId="7EC12BCB"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+14 %</w:t>
            </w:r>
          </w:p>
        </w:tc>
      </w:tr>
      <w:tr w:rsidR="007043B3" w:rsidRPr="007043B3" w14:paraId="37648167" w14:textId="77777777">
        <w:trPr>
          <w:tblCellSpacing w:w="15" w:type="dxa"/>
        </w:trPr>
        <w:tc>
          <w:tcPr>
            <w:tcW w:w="0" w:type="auto"/>
            <w:vAlign w:val="center"/>
            <w:hideMark/>
          </w:tcPr>
          <w:p w14:paraId="2473905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Plzeň</w:t>
            </w:r>
          </w:p>
        </w:tc>
        <w:tc>
          <w:tcPr>
            <w:tcW w:w="0" w:type="auto"/>
            <w:vAlign w:val="center"/>
            <w:hideMark/>
          </w:tcPr>
          <w:p w14:paraId="007444F4"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7 250</w:t>
            </w:r>
          </w:p>
        </w:tc>
        <w:tc>
          <w:tcPr>
            <w:tcW w:w="0" w:type="auto"/>
            <w:vAlign w:val="center"/>
            <w:hideMark/>
          </w:tcPr>
          <w:p w14:paraId="0785E9BC"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+7 %</w:t>
            </w:r>
          </w:p>
        </w:tc>
      </w:tr>
      <w:tr w:rsidR="007043B3" w:rsidRPr="007043B3" w14:paraId="1DAFCED0" w14:textId="77777777">
        <w:trPr>
          <w:tblCellSpacing w:w="15" w:type="dxa"/>
        </w:trPr>
        <w:tc>
          <w:tcPr>
            <w:tcW w:w="0" w:type="auto"/>
            <w:vAlign w:val="center"/>
            <w:hideMark/>
          </w:tcPr>
          <w:p w14:paraId="25C522ED"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Praha</w:t>
            </w:r>
          </w:p>
        </w:tc>
        <w:tc>
          <w:tcPr>
            <w:tcW w:w="0" w:type="auto"/>
            <w:vAlign w:val="center"/>
            <w:hideMark/>
          </w:tcPr>
          <w:p w14:paraId="16D99972"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11 950</w:t>
            </w:r>
          </w:p>
        </w:tc>
        <w:tc>
          <w:tcPr>
            <w:tcW w:w="0" w:type="auto"/>
            <w:vAlign w:val="center"/>
            <w:hideMark/>
          </w:tcPr>
          <w:p w14:paraId="34E0587F"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+2 %</w:t>
            </w:r>
          </w:p>
        </w:tc>
      </w:tr>
      <w:tr w:rsidR="007043B3" w:rsidRPr="007043B3" w14:paraId="6E3B7FD1" w14:textId="77777777">
        <w:trPr>
          <w:tblCellSpacing w:w="15" w:type="dxa"/>
        </w:trPr>
        <w:tc>
          <w:tcPr>
            <w:tcW w:w="0" w:type="auto"/>
            <w:vAlign w:val="center"/>
            <w:hideMark/>
          </w:tcPr>
          <w:p w14:paraId="7C9DD0C2"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Zlín</w:t>
            </w:r>
          </w:p>
        </w:tc>
        <w:tc>
          <w:tcPr>
            <w:tcW w:w="0" w:type="auto"/>
            <w:vAlign w:val="center"/>
            <w:hideMark/>
          </w:tcPr>
          <w:p w14:paraId="4D5EA274"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6 475</w:t>
            </w:r>
          </w:p>
        </w:tc>
        <w:tc>
          <w:tcPr>
            <w:tcW w:w="0" w:type="auto"/>
            <w:vAlign w:val="center"/>
            <w:hideMark/>
          </w:tcPr>
          <w:p w14:paraId="428B1F45"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+8 %</w:t>
            </w:r>
          </w:p>
        </w:tc>
      </w:tr>
      <w:tr w:rsidR="007043B3" w:rsidRPr="007043B3" w14:paraId="47AF5489" w14:textId="77777777">
        <w:trPr>
          <w:tblCellSpacing w:w="15" w:type="dxa"/>
        </w:trPr>
        <w:tc>
          <w:tcPr>
            <w:tcW w:w="0" w:type="auto"/>
            <w:vAlign w:val="center"/>
            <w:hideMark/>
          </w:tcPr>
          <w:p w14:paraId="7BA36863"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Ústí nad Labem</w:t>
            </w:r>
          </w:p>
        </w:tc>
        <w:tc>
          <w:tcPr>
            <w:tcW w:w="0" w:type="auto"/>
            <w:vAlign w:val="center"/>
            <w:hideMark/>
          </w:tcPr>
          <w:p w14:paraId="46E89AB8"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5 750</w:t>
            </w:r>
          </w:p>
        </w:tc>
        <w:tc>
          <w:tcPr>
            <w:tcW w:w="0" w:type="auto"/>
            <w:vAlign w:val="center"/>
            <w:hideMark/>
          </w:tcPr>
          <w:p w14:paraId="64846F5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+5 %</w:t>
            </w:r>
          </w:p>
        </w:tc>
      </w:tr>
      <w:tr w:rsidR="007043B3" w:rsidRPr="007043B3" w14:paraId="3410263F" w14:textId="77777777">
        <w:trPr>
          <w:tblCellSpacing w:w="15" w:type="dxa"/>
        </w:trPr>
        <w:tc>
          <w:tcPr>
            <w:tcW w:w="0" w:type="auto"/>
            <w:vAlign w:val="center"/>
            <w:hideMark/>
          </w:tcPr>
          <w:p w14:paraId="2C4AEB01"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České Budějovice</w:t>
            </w:r>
          </w:p>
        </w:tc>
        <w:tc>
          <w:tcPr>
            <w:tcW w:w="0" w:type="auto"/>
            <w:vAlign w:val="center"/>
            <w:hideMark/>
          </w:tcPr>
          <w:p w14:paraId="51265A08"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6 750</w:t>
            </w:r>
          </w:p>
        </w:tc>
        <w:tc>
          <w:tcPr>
            <w:tcW w:w="0" w:type="auto"/>
            <w:vAlign w:val="center"/>
            <w:hideMark/>
          </w:tcPr>
          <w:p w14:paraId="4758C87C"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+4 %</w:t>
            </w:r>
          </w:p>
        </w:tc>
      </w:tr>
    </w:tbl>
    <w:p w14:paraId="6A98199F"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0"/>
        <w:rPr>
          <w:rFonts w:eastAsia="Times New Roman"/>
          <w:b/>
          <w:bCs/>
          <w:color w:val="auto"/>
          <w:kern w:val="36"/>
          <w:sz w:val="28"/>
          <w:szCs w:val="28"/>
          <w:bdr w:val="none" w:sz="0" w:space="0" w:color="auto"/>
        </w:rPr>
      </w:pPr>
      <w:r w:rsidRPr="007043B3">
        <w:rPr>
          <w:rFonts w:eastAsia="Times New Roman"/>
          <w:b/>
          <w:bCs/>
          <w:color w:val="auto"/>
          <w:kern w:val="36"/>
          <w:sz w:val="28"/>
          <w:szCs w:val="28"/>
          <w:bdr w:val="none" w:sz="0" w:space="0" w:color="auto"/>
        </w:rPr>
        <w:t>Kdo nechce hledat řešení spolu se spolužáky a kamarády, může zvolit samostatné pokoje </w:t>
      </w:r>
    </w:p>
    <w:p w14:paraId="681BE7B0"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xml:space="preserve">Pokud si student nechce dát práci s hledáním nejlevnějšího bydlení ve sdíleném bytě se spolužáky či kamarády, může z inzerovaných možností na realitním portále zvolit samostatný pokoj. </w:t>
      </w:r>
      <w:r w:rsidRPr="007043B3">
        <w:rPr>
          <w:rFonts w:eastAsia="Times New Roman"/>
          <w:i/>
          <w:iCs/>
          <w:color w:val="auto"/>
          <w:sz w:val="28"/>
          <w:szCs w:val="28"/>
          <w:bdr w:val="none" w:sz="0" w:space="0" w:color="auto"/>
        </w:rPr>
        <w:t xml:space="preserve">„V Praze byly samostatné pokoje na portálu </w:t>
      </w:r>
      <w:proofErr w:type="spellStart"/>
      <w:r w:rsidRPr="007043B3">
        <w:rPr>
          <w:rFonts w:eastAsia="Times New Roman"/>
          <w:i/>
          <w:iCs/>
          <w:color w:val="auto"/>
          <w:sz w:val="28"/>
          <w:szCs w:val="28"/>
          <w:bdr w:val="none" w:sz="0" w:space="0" w:color="auto"/>
        </w:rPr>
        <w:t>Sreality.cz</w:t>
      </w:r>
      <w:proofErr w:type="spellEnd"/>
      <w:r w:rsidRPr="007043B3">
        <w:rPr>
          <w:rFonts w:eastAsia="Times New Roman"/>
          <w:i/>
          <w:iCs/>
          <w:color w:val="auto"/>
          <w:sz w:val="28"/>
          <w:szCs w:val="28"/>
          <w:bdr w:val="none" w:sz="0" w:space="0" w:color="auto"/>
        </w:rPr>
        <w:t xml:space="preserve"> nabízeny o 10 % dráže než ve stejném období předchozího roku. V Brně ale vyjdou zhruba na podobnou částku jako loni,“</w:t>
      </w:r>
      <w:r w:rsidRPr="007043B3">
        <w:rPr>
          <w:rFonts w:eastAsia="Times New Roman"/>
          <w:color w:val="auto"/>
          <w:sz w:val="28"/>
          <w:szCs w:val="28"/>
          <w:bdr w:val="none" w:sz="0" w:space="0" w:color="auto"/>
        </w:rPr>
        <w:t xml:space="preserve"> říká Hana </w:t>
      </w:r>
      <w:proofErr w:type="spellStart"/>
      <w:r w:rsidRPr="007043B3">
        <w:rPr>
          <w:rFonts w:eastAsia="Times New Roman"/>
          <w:color w:val="auto"/>
          <w:sz w:val="28"/>
          <w:szCs w:val="28"/>
          <w:bdr w:val="none" w:sz="0" w:space="0" w:color="auto"/>
        </w:rPr>
        <w:t>Kontriš</w:t>
      </w:r>
      <w:proofErr w:type="spellEnd"/>
      <w:r w:rsidRPr="007043B3">
        <w:rPr>
          <w:rFonts w:eastAsia="Times New Roman"/>
          <w:color w:val="auto"/>
          <w:sz w:val="28"/>
          <w:szCs w:val="28"/>
          <w:bdr w:val="none" w:sz="0" w:space="0" w:color="auto"/>
        </w:rPr>
        <w:t>. </w:t>
      </w:r>
    </w:p>
    <w:p w14:paraId="11943F9B"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b/>
          <w:bCs/>
          <w:color w:val="auto"/>
          <w:sz w:val="28"/>
          <w:szCs w:val="28"/>
          <w:bdr w:val="none" w:sz="0" w:space="0" w:color="auto"/>
        </w:rPr>
        <w:lastRenderedPageBreak/>
        <w:t>Zdroj dat:  </w:t>
      </w:r>
    </w:p>
    <w:p w14:paraId="7F58C9AA"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xml:space="preserve">* </w:t>
      </w:r>
      <w:proofErr w:type="spellStart"/>
      <w:r w:rsidRPr="007043B3">
        <w:rPr>
          <w:rFonts w:eastAsia="Times New Roman"/>
          <w:color w:val="auto"/>
          <w:sz w:val="28"/>
          <w:szCs w:val="28"/>
          <w:bdr w:val="none" w:sz="0" w:space="0" w:color="auto"/>
        </w:rPr>
        <w:t>Sreality.cz</w:t>
      </w:r>
      <w:proofErr w:type="spellEnd"/>
      <w:r w:rsidRPr="007043B3">
        <w:rPr>
          <w:rFonts w:eastAsia="Times New Roman"/>
          <w:color w:val="auto"/>
          <w:sz w:val="28"/>
          <w:szCs w:val="28"/>
          <w:bdr w:val="none" w:sz="0" w:space="0" w:color="auto"/>
        </w:rPr>
        <w:t>, 2. čtvrtletí 2025 a 2026. Do analýzy jsou zahrnuta univerzitní města. </w:t>
      </w:r>
    </w:p>
    <w:p w14:paraId="0C3D6CFB"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Do analýzy výpočtu cen byly zahrnuty pokoje nebo byty, které jsou v osobním vlastnictví a jsou ve velmi dobrém stavu, dobrém stavu či po rekonstrukci. Zároveň jednotlivé typy bydlení splňovaly tyto charakteristiky: </w:t>
      </w:r>
    </w:p>
    <w:p w14:paraId="2B8A9427" w14:textId="77777777" w:rsidR="007043B3" w:rsidRPr="007043B3" w:rsidRDefault="007043B3" w:rsidP="007043B3">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Pokoje: rozloha 10 až 30 m². </w:t>
      </w:r>
    </w:p>
    <w:p w14:paraId="7E627421" w14:textId="77777777" w:rsidR="007043B3" w:rsidRPr="007043B3" w:rsidRDefault="007043B3" w:rsidP="007043B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Garsoniéry: rozloha 20 až 40 m² a dispozice 1+kk. </w:t>
      </w:r>
    </w:p>
    <w:p w14:paraId="220E1FA2" w14:textId="77777777" w:rsidR="007043B3" w:rsidRPr="007043B3" w:rsidRDefault="007043B3" w:rsidP="007043B3">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Malé byty: rozloha 30 až 60 m² a dispozice 1+1, 2+kk. </w:t>
      </w:r>
    </w:p>
    <w:p w14:paraId="12E05741" w14:textId="77777777" w:rsidR="007043B3" w:rsidRPr="007043B3" w:rsidRDefault="007043B3" w:rsidP="007043B3">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Velké byty ke sdílení: rozloha 50 až 90 m² a dispozice 2+1, 3+1, 3+kk, 4+1, 4+kk. </w:t>
      </w:r>
    </w:p>
    <w:p w14:paraId="43802471" w14:textId="77777777" w:rsidR="007043B3" w:rsidRPr="007043B3" w:rsidRDefault="007043B3" w:rsidP="007043B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Nabídka samostatných pokojů tvoří v inzertní nabídce tradičně jen marginální část. V připojené tabulce jsou proto uvedeny pouze ceny pronájmů pokojů v Praze a Brně, kde byl v inzerci dostatečný počet pokojů vhodných k cenovému srovnání v analýze. </w:t>
      </w:r>
    </w:p>
    <w:p w14:paraId="2602D600"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Výše nájmů za tyto vícepokojové byty jsou v naší analýze přepočteny na cenu pronájmu samostatného pokoje v tomto vícepokojovém bytě, což odpovídá situaci, kdy si více studentů pronajme a sdílí takový byt. </w:t>
      </w:r>
    </w:p>
    <w:p w14:paraId="55D87466" w14:textId="77777777" w:rsidR="007043B3" w:rsidRPr="007043B3" w:rsidRDefault="007043B3" w:rsidP="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8"/>
          <w:szCs w:val="28"/>
          <w:bdr w:val="none" w:sz="0" w:space="0" w:color="auto"/>
        </w:rPr>
      </w:pPr>
      <w:r w:rsidRPr="007043B3">
        <w:rPr>
          <w:rFonts w:eastAsia="Times New Roman"/>
          <w:color w:val="auto"/>
          <w:sz w:val="28"/>
          <w:szCs w:val="28"/>
          <w:bdr w:val="none" w:sz="0" w:space="0" w:color="auto"/>
        </w:rPr>
        <w:t>*** Medián je hodnota nacházející se uprostřed skupiny analyzovaných čísel, kdy má polovina hodnot vyšší hodnotu než medián a druhá polovina hodnotu nižší. </w:t>
      </w:r>
    </w:p>
    <w:p w14:paraId="721350C3" w14:textId="6BF641F2" w:rsidR="00B169FA" w:rsidRPr="007043B3" w:rsidRDefault="00B169FA" w:rsidP="007043B3">
      <w:pPr>
        <w:jc w:val="both"/>
        <w:rPr>
          <w:sz w:val="28"/>
          <w:szCs w:val="28"/>
        </w:rPr>
      </w:pPr>
    </w:p>
    <w:p w14:paraId="1728EB95" w14:textId="77777777" w:rsidR="00E80249" w:rsidRPr="007043B3" w:rsidRDefault="00E80249" w:rsidP="007043B3">
      <w:pPr>
        <w:jc w:val="both"/>
        <w:rPr>
          <w:sz w:val="28"/>
          <w:szCs w:val="28"/>
        </w:rPr>
      </w:pPr>
    </w:p>
    <w:p w14:paraId="4FA5606A" w14:textId="77777777" w:rsidR="007043B3" w:rsidRPr="007043B3" w:rsidRDefault="007043B3">
      <w:pPr>
        <w:jc w:val="both"/>
        <w:rPr>
          <w:sz w:val="28"/>
          <w:szCs w:val="28"/>
        </w:rPr>
      </w:pPr>
    </w:p>
    <w:sectPr w:rsidR="007043B3" w:rsidRPr="007043B3">
      <w:headerReference w:type="even" r:id="rId9"/>
      <w:headerReference w:type="default" r:id="rId10"/>
      <w:footerReference w:type="even" r:id="rId11"/>
      <w:footerReference w:type="default" r:id="rId12"/>
      <w:headerReference w:type="first" r:id="rId13"/>
      <w:footerReference w:type="first" r:id="rId14"/>
      <w:pgSz w:w="11900" w:h="16840"/>
      <w:pgMar w:top="1089" w:right="1701" w:bottom="1701" w:left="1701" w:header="79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C5B82A" w14:textId="77777777" w:rsidR="006079A1" w:rsidRDefault="006079A1">
      <w:pPr>
        <w:spacing w:after="0" w:line="240" w:lineRule="auto"/>
      </w:pPr>
      <w:r>
        <w:separator/>
      </w:r>
    </w:p>
  </w:endnote>
  <w:endnote w:type="continuationSeparator" w:id="0">
    <w:p w14:paraId="2D3129EC" w14:textId="77777777" w:rsidR="006079A1" w:rsidRDefault="00607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692BF2" w14:textId="77777777" w:rsidR="000712AE" w:rsidRDefault="000712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E1F84" w14:textId="77777777" w:rsidR="000712AE" w:rsidRDefault="000712A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5877A" w14:textId="77777777" w:rsidR="000712AE" w:rsidRDefault="000712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6D495B" w14:textId="77777777" w:rsidR="006079A1" w:rsidRDefault="006079A1">
      <w:pPr>
        <w:spacing w:after="0" w:line="240" w:lineRule="auto"/>
      </w:pPr>
      <w:r>
        <w:separator/>
      </w:r>
    </w:p>
  </w:footnote>
  <w:footnote w:type="continuationSeparator" w:id="0">
    <w:p w14:paraId="511441D5" w14:textId="77777777" w:rsidR="006079A1" w:rsidRDefault="00607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99881" w14:textId="77777777" w:rsidR="000712AE" w:rsidRDefault="000712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D6EDF" w14:textId="77777777" w:rsidR="00E80249" w:rsidRDefault="00E80249">
    <w:pPr>
      <w:pStyle w:val="Zhlav"/>
      <w:tabs>
        <w:tab w:val="clear" w:pos="9072"/>
        <w:tab w:val="right" w:pos="8478"/>
      </w:tabs>
      <w:rPr>
        <w:sz w:val="28"/>
        <w:szCs w:val="28"/>
      </w:rPr>
    </w:pPr>
  </w:p>
  <w:p w14:paraId="1C033981" w14:textId="4FE5B02A" w:rsidR="00E80249" w:rsidRDefault="000712AE">
    <w:pPr>
      <w:pStyle w:val="Zhlav"/>
      <w:tabs>
        <w:tab w:val="clear" w:pos="9072"/>
        <w:tab w:val="right" w:pos="8478"/>
      </w:tabs>
      <w:rPr>
        <w:sz w:val="28"/>
        <w:szCs w:val="28"/>
      </w:rPr>
    </w:pPr>
    <w:r>
      <w:rPr>
        <w:noProof/>
      </w:rPr>
      <w:drawing>
        <wp:inline distT="0" distB="0" distL="0" distR="0" wp14:anchorId="4695C0C2" wp14:editId="39A427C1">
          <wp:extent cx="1972800" cy="258846"/>
          <wp:effectExtent l="0" t="0" r="0" b="8255"/>
          <wp:docPr id="629414476" name="Obrázek 1" descr="Obsah obrázku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14476" name="Obrázek 1" descr="Obsah obrázku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800" cy="258846"/>
                  </a:xfrm>
                  <a:prstGeom prst="rect">
                    <a:avLst/>
                  </a:prstGeom>
                  <a:noFill/>
                  <a:ln>
                    <a:noFill/>
                  </a:ln>
                </pic:spPr>
              </pic:pic>
            </a:graphicData>
          </a:graphic>
        </wp:inline>
      </w:drawing>
    </w:r>
  </w:p>
  <w:p w14:paraId="42C1D132" w14:textId="77777777" w:rsidR="00E80249" w:rsidRDefault="00E80249">
    <w:pPr>
      <w:pStyle w:val="Zpat"/>
      <w:tabs>
        <w:tab w:val="clear" w:pos="9072"/>
        <w:tab w:val="right" w:pos="8478"/>
      </w:tabs>
      <w:rPr>
        <w:sz w:val="16"/>
        <w:szCs w:val="16"/>
      </w:rPr>
    </w:pPr>
  </w:p>
  <w:p w14:paraId="20834202" w14:textId="77777777" w:rsidR="00E80249" w:rsidRDefault="008733FD">
    <w:pPr>
      <w:pStyle w:val="Zpat"/>
      <w:tabs>
        <w:tab w:val="clear" w:pos="9072"/>
        <w:tab w:val="right" w:pos="8478"/>
      </w:tabs>
    </w:pPr>
    <w:r>
      <w:t>Kristýna Hořovská</w:t>
    </w:r>
  </w:p>
  <w:p w14:paraId="66880E35" w14:textId="77777777" w:rsidR="00E80249" w:rsidRDefault="00EF38E5">
    <w:pPr>
      <w:pStyle w:val="Zpat"/>
      <w:tabs>
        <w:tab w:val="clear" w:pos="9072"/>
        <w:tab w:val="right" w:pos="8478"/>
      </w:tabs>
      <w:rPr>
        <w:color w:val="595959"/>
        <w:sz w:val="20"/>
        <w:szCs w:val="20"/>
        <w:u w:color="595959"/>
      </w:rPr>
    </w:pPr>
    <w:r>
      <w:rPr>
        <w:color w:val="595959"/>
        <w:sz w:val="20"/>
        <w:szCs w:val="20"/>
        <w:u w:color="595959"/>
      </w:rPr>
      <w:t>PR Specialistka</w:t>
    </w:r>
  </w:p>
  <w:p w14:paraId="0C95EC09" w14:textId="77777777" w:rsidR="00E80249" w:rsidRDefault="008733FD">
    <w:pPr>
      <w:pStyle w:val="Zpat"/>
      <w:tabs>
        <w:tab w:val="clear" w:pos="9072"/>
        <w:tab w:val="right" w:pos="8478"/>
      </w:tabs>
      <w:rPr>
        <w:color w:val="595959"/>
        <w:sz w:val="20"/>
        <w:szCs w:val="20"/>
        <w:u w:color="595959"/>
      </w:rPr>
    </w:pPr>
    <w:r>
      <w:rPr>
        <w:color w:val="595959"/>
        <w:sz w:val="20"/>
        <w:szCs w:val="20"/>
        <w:u w:color="595959"/>
      </w:rPr>
      <w:t>mobil: +420 721 362 980</w:t>
    </w:r>
    <w:r w:rsidR="00EF38E5">
      <w:rPr>
        <w:color w:val="595959"/>
        <w:sz w:val="20"/>
        <w:szCs w:val="20"/>
        <w:u w:color="595959"/>
      </w:rPr>
      <w:t xml:space="preserve">; </w:t>
    </w:r>
  </w:p>
  <w:p w14:paraId="6E8CD482" w14:textId="77777777" w:rsidR="00E80249" w:rsidRDefault="008733FD">
    <w:pPr>
      <w:pStyle w:val="Zpat"/>
      <w:tabs>
        <w:tab w:val="clear" w:pos="9072"/>
        <w:tab w:val="right" w:pos="8478"/>
      </w:tabs>
      <w:rPr>
        <w:color w:val="595959"/>
        <w:sz w:val="20"/>
        <w:szCs w:val="20"/>
        <w:u w:color="595959"/>
      </w:rPr>
    </w:pPr>
    <w:r>
      <w:rPr>
        <w:color w:val="595959"/>
        <w:sz w:val="20"/>
        <w:szCs w:val="20"/>
        <w:u w:color="595959"/>
      </w:rPr>
      <w:t xml:space="preserve">e-mail: </w:t>
    </w:r>
    <w:proofErr w:type="spellStart"/>
    <w:r>
      <w:rPr>
        <w:color w:val="595959"/>
        <w:sz w:val="20"/>
        <w:szCs w:val="20"/>
        <w:u w:color="595959"/>
      </w:rPr>
      <w:t>kristyna.horovska</w:t>
    </w:r>
    <w:r w:rsidR="00EF38E5">
      <w:rPr>
        <w:color w:val="595959"/>
        <w:sz w:val="20"/>
        <w:szCs w:val="20"/>
        <w:u w:color="595959"/>
      </w:rPr>
      <w:t>@firma.seznam.cz</w:t>
    </w:r>
    <w:proofErr w:type="spellEnd"/>
  </w:p>
  <w:p w14:paraId="2BC164C2" w14:textId="77777777" w:rsidR="00E80249" w:rsidRDefault="00E80249">
    <w:pPr>
      <w:pStyle w:val="Zhlav"/>
      <w:tabs>
        <w:tab w:val="clear" w:pos="9072"/>
        <w:tab w:val="right" w:pos="8478"/>
      </w:tabs>
      <w:rPr>
        <w:sz w:val="28"/>
        <w:szCs w:val="28"/>
      </w:rPr>
    </w:pPr>
  </w:p>
  <w:p w14:paraId="35431EC0" w14:textId="77777777" w:rsidR="00E80249" w:rsidRDefault="00E80249">
    <w:pPr>
      <w:pStyle w:val="Zhlav"/>
      <w:tabs>
        <w:tab w:val="clear" w:pos="9072"/>
        <w:tab w:val="right" w:pos="8478"/>
      </w:tabs>
      <w:rPr>
        <w:sz w:val="28"/>
        <w:szCs w:val="28"/>
      </w:rPr>
    </w:pPr>
  </w:p>
  <w:p w14:paraId="6AFF6F09" w14:textId="77777777" w:rsidR="00E80249" w:rsidRDefault="00E80249">
    <w:pPr>
      <w:pStyle w:val="Zhlav"/>
      <w:tabs>
        <w:tab w:val="clear" w:pos="9072"/>
        <w:tab w:val="right" w:pos="84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9114D" w14:textId="77777777" w:rsidR="000712AE" w:rsidRDefault="000712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B45239"/>
    <w:multiLevelType w:val="multilevel"/>
    <w:tmpl w:val="3200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961973"/>
    <w:multiLevelType w:val="multilevel"/>
    <w:tmpl w:val="0B88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860FC"/>
    <w:multiLevelType w:val="hybridMultilevel"/>
    <w:tmpl w:val="35A2E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F15428B"/>
    <w:multiLevelType w:val="multilevel"/>
    <w:tmpl w:val="378C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861AF"/>
    <w:multiLevelType w:val="multilevel"/>
    <w:tmpl w:val="97CA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5B63DC"/>
    <w:multiLevelType w:val="multilevel"/>
    <w:tmpl w:val="7BD4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1939777">
    <w:abstractNumId w:val="2"/>
  </w:num>
  <w:num w:numId="2" w16cid:durableId="840631568">
    <w:abstractNumId w:val="0"/>
  </w:num>
  <w:num w:numId="3" w16cid:durableId="826634253">
    <w:abstractNumId w:val="3"/>
  </w:num>
  <w:num w:numId="4" w16cid:durableId="1802961438">
    <w:abstractNumId w:val="5"/>
  </w:num>
  <w:num w:numId="5" w16cid:durableId="1444111384">
    <w:abstractNumId w:val="4"/>
  </w:num>
  <w:num w:numId="6" w16cid:durableId="140961797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249"/>
    <w:rsid w:val="00036F80"/>
    <w:rsid w:val="00041E8A"/>
    <w:rsid w:val="00043A0F"/>
    <w:rsid w:val="000712AE"/>
    <w:rsid w:val="0008445E"/>
    <w:rsid w:val="000A06DC"/>
    <w:rsid w:val="000B42AF"/>
    <w:rsid w:val="00115F2B"/>
    <w:rsid w:val="001205DF"/>
    <w:rsid w:val="00146178"/>
    <w:rsid w:val="00154AD1"/>
    <w:rsid w:val="001569E8"/>
    <w:rsid w:val="00170CB2"/>
    <w:rsid w:val="00190FC1"/>
    <w:rsid w:val="001A2945"/>
    <w:rsid w:val="00203C2C"/>
    <w:rsid w:val="002075A9"/>
    <w:rsid w:val="00283C1A"/>
    <w:rsid w:val="002B7EF4"/>
    <w:rsid w:val="002D185F"/>
    <w:rsid w:val="002D6561"/>
    <w:rsid w:val="002D7A67"/>
    <w:rsid w:val="002E4918"/>
    <w:rsid w:val="00303CA7"/>
    <w:rsid w:val="004C261E"/>
    <w:rsid w:val="004D645C"/>
    <w:rsid w:val="004E08EF"/>
    <w:rsid w:val="00523C7E"/>
    <w:rsid w:val="00534BDA"/>
    <w:rsid w:val="0053543A"/>
    <w:rsid w:val="00564A1B"/>
    <w:rsid w:val="005C2F1D"/>
    <w:rsid w:val="006079A1"/>
    <w:rsid w:val="00652A76"/>
    <w:rsid w:val="006A0A21"/>
    <w:rsid w:val="007043B3"/>
    <w:rsid w:val="007273EC"/>
    <w:rsid w:val="00765C66"/>
    <w:rsid w:val="007A1CCA"/>
    <w:rsid w:val="007B7DD5"/>
    <w:rsid w:val="00806E24"/>
    <w:rsid w:val="008479F6"/>
    <w:rsid w:val="00853354"/>
    <w:rsid w:val="008733FD"/>
    <w:rsid w:val="008D559D"/>
    <w:rsid w:val="009745F4"/>
    <w:rsid w:val="00A05249"/>
    <w:rsid w:val="00A53E6B"/>
    <w:rsid w:val="00A72F15"/>
    <w:rsid w:val="00A956AA"/>
    <w:rsid w:val="00AD49E2"/>
    <w:rsid w:val="00AD558E"/>
    <w:rsid w:val="00AF048B"/>
    <w:rsid w:val="00B05D11"/>
    <w:rsid w:val="00B169FA"/>
    <w:rsid w:val="00BE6AEE"/>
    <w:rsid w:val="00C44F94"/>
    <w:rsid w:val="00C94537"/>
    <w:rsid w:val="00CC7613"/>
    <w:rsid w:val="00CD2270"/>
    <w:rsid w:val="00CD64ED"/>
    <w:rsid w:val="00D1389E"/>
    <w:rsid w:val="00D23432"/>
    <w:rsid w:val="00D500BB"/>
    <w:rsid w:val="00D67240"/>
    <w:rsid w:val="00D95463"/>
    <w:rsid w:val="00DC4776"/>
    <w:rsid w:val="00DC504E"/>
    <w:rsid w:val="00E03D55"/>
    <w:rsid w:val="00E05F85"/>
    <w:rsid w:val="00E261A2"/>
    <w:rsid w:val="00E6493D"/>
    <w:rsid w:val="00E80249"/>
    <w:rsid w:val="00E81C6A"/>
    <w:rsid w:val="00EF38E5"/>
    <w:rsid w:val="00F129DE"/>
    <w:rsid w:val="00F54CFB"/>
    <w:rsid w:val="00FB4087"/>
    <w:rsid w:val="00FC35EF"/>
    <w:rsid w:val="00FF4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8998"/>
  <w15:docId w15:val="{95373779-AE69-4B2E-B41E-A78436D7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200" w:line="276" w:lineRule="auto"/>
    </w:pPr>
    <w:rPr>
      <w:rFonts w:ascii="Calibri" w:eastAsia="Calibri" w:hAnsi="Calibri" w:cs="Calibri"/>
      <w:color w:val="000000"/>
      <w:sz w:val="22"/>
      <w:szCs w:val="22"/>
      <w:u w:color="000000"/>
    </w:rPr>
  </w:style>
  <w:style w:type="paragraph" w:styleId="Nadpis1">
    <w:name w:val="heading 1"/>
    <w:basedOn w:val="Normln"/>
    <w:link w:val="Nadpis1Char"/>
    <w:uiPriority w:val="9"/>
    <w:qFormat/>
    <w:rsid w:val="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bdr w:val="none" w:sz="0" w:space="0" w:color="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suppressAutoHyphens/>
    </w:pPr>
    <w:rPr>
      <w:rFonts w:ascii="Arial" w:hAnsi="Arial" w:cs="Arial Unicode MS"/>
      <w:color w:val="000000"/>
      <w:sz w:val="24"/>
      <w:szCs w:val="24"/>
      <w:u w:color="000000"/>
    </w:rPr>
  </w:style>
  <w:style w:type="paragraph" w:styleId="Zpat">
    <w:name w:val="footer"/>
    <w:pPr>
      <w:tabs>
        <w:tab w:val="center" w:pos="4536"/>
        <w:tab w:val="right" w:pos="9072"/>
      </w:tabs>
      <w:suppressAutoHyphens/>
    </w:pPr>
    <w:rPr>
      <w:rFonts w:ascii="Arial" w:hAnsi="Arial" w:cs="Arial Unicode MS"/>
      <w:color w:val="000000"/>
      <w:sz w:val="24"/>
      <w:szCs w:val="24"/>
      <w:u w:color="000000"/>
    </w:rPr>
  </w:style>
  <w:style w:type="paragraph" w:customStyle="1" w:styleId="Zhlavazpat">
    <w:name w:val="Záhlaví a zápatí"/>
    <w:pPr>
      <w:tabs>
        <w:tab w:val="right" w:pos="9020"/>
      </w:tabs>
    </w:pPr>
    <w:rPr>
      <w:rFonts w:ascii="Helvetica Neue" w:eastAsia="Helvetica Neue" w:hAnsi="Helvetica Neue" w:cs="Helvetica Neue"/>
      <w:color w:val="000000"/>
      <w:sz w:val="24"/>
      <w:szCs w:val="24"/>
    </w:rPr>
  </w:style>
  <w:style w:type="character" w:customStyle="1" w:styleId="dn">
    <w:name w:val="Žádný"/>
  </w:style>
  <w:style w:type="character" w:customStyle="1" w:styleId="Hyperlink0">
    <w:name w:val="Hyperlink.0"/>
    <w:basedOn w:val="dn"/>
    <w:rPr>
      <w:rFonts w:ascii="Calibri" w:eastAsia="Calibri" w:hAnsi="Calibri" w:cs="Calibri"/>
      <w:b/>
      <w:bCs/>
      <w:color w:val="0563C1"/>
      <w:u w:val="single" w:color="0563C1"/>
    </w:rPr>
  </w:style>
  <w:style w:type="paragraph" w:customStyle="1" w:styleId="Vchoz">
    <w:name w:val="Výchozí"/>
    <w:rPr>
      <w:rFonts w:ascii="Helvetica Neue" w:eastAsia="Helvetica Neue" w:hAnsi="Helvetica Neue" w:cs="Helvetica Neue"/>
      <w:color w:val="000000"/>
      <w:sz w:val="22"/>
      <w:szCs w:val="22"/>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Calibri" w:eastAsia="Calibri" w:hAnsi="Calibri" w:cs="Calibri"/>
      <w:color w:val="000000"/>
      <w:u w:color="00000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B05D1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5D11"/>
    <w:rPr>
      <w:rFonts w:ascii="Segoe UI" w:eastAsia="Calibr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B05D11"/>
    <w:rPr>
      <w:b/>
      <w:bCs/>
    </w:rPr>
  </w:style>
  <w:style w:type="character" w:customStyle="1" w:styleId="PedmtkomenteChar">
    <w:name w:val="Předmět komentáře Char"/>
    <w:basedOn w:val="TextkomenteChar"/>
    <w:link w:val="Pedmtkomente"/>
    <w:uiPriority w:val="99"/>
    <w:semiHidden/>
    <w:rsid w:val="00B05D11"/>
    <w:rPr>
      <w:rFonts w:ascii="Calibri" w:eastAsia="Calibri" w:hAnsi="Calibri" w:cs="Calibri"/>
      <w:b/>
      <w:bCs/>
      <w:color w:val="000000"/>
      <w:u w:color="000000"/>
    </w:rPr>
  </w:style>
  <w:style w:type="paragraph" w:styleId="Bezmezer">
    <w:name w:val="No Spacing"/>
    <w:uiPriority w:val="1"/>
    <w:qFormat/>
    <w:rsid w:val="008733F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styleId="Nevyeenzmnka">
    <w:name w:val="Unresolved Mention"/>
    <w:basedOn w:val="Standardnpsmoodstavce"/>
    <w:uiPriority w:val="99"/>
    <w:semiHidden/>
    <w:unhideWhenUsed/>
    <w:rsid w:val="007A1CCA"/>
    <w:rPr>
      <w:color w:val="808080"/>
      <w:shd w:val="clear" w:color="auto" w:fill="E6E6E6"/>
    </w:rPr>
  </w:style>
  <w:style w:type="paragraph" w:styleId="Odstavecseseznamem">
    <w:name w:val="List Paragraph"/>
    <w:basedOn w:val="Normln"/>
    <w:uiPriority w:val="34"/>
    <w:qFormat/>
    <w:rsid w:val="002D185F"/>
    <w:pPr>
      <w:ind w:left="720"/>
      <w:contextualSpacing/>
    </w:pPr>
  </w:style>
  <w:style w:type="character" w:styleId="Siln">
    <w:name w:val="Strong"/>
    <w:basedOn w:val="Standardnpsmoodstavce"/>
    <w:uiPriority w:val="22"/>
    <w:qFormat/>
    <w:rsid w:val="00B169FA"/>
    <w:rPr>
      <w:b/>
      <w:bCs/>
    </w:rPr>
  </w:style>
  <w:style w:type="paragraph" w:styleId="Normlnweb">
    <w:name w:val="Normal (Web)"/>
    <w:basedOn w:val="Normln"/>
    <w:uiPriority w:val="99"/>
    <w:semiHidden/>
    <w:unhideWhenUsed/>
    <w:rsid w:val="00B169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Zdraznn">
    <w:name w:val="Emphasis"/>
    <w:basedOn w:val="Standardnpsmoodstavce"/>
    <w:uiPriority w:val="20"/>
    <w:qFormat/>
    <w:rsid w:val="00B169FA"/>
    <w:rPr>
      <w:i/>
      <w:iCs/>
    </w:rPr>
  </w:style>
  <w:style w:type="character" w:customStyle="1" w:styleId="Nadpis1Char">
    <w:name w:val="Nadpis 1 Char"/>
    <w:basedOn w:val="Standardnpsmoodstavce"/>
    <w:link w:val="Nadpis1"/>
    <w:uiPriority w:val="9"/>
    <w:rsid w:val="007043B3"/>
    <w:rPr>
      <w:rFonts w:eastAsia="Times New Roman"/>
      <w:b/>
      <w:bCs/>
      <w:kern w:val="36"/>
      <w:sz w:val="48"/>
      <w:szCs w:val="48"/>
      <w:bdr w:val="none" w:sz="0" w:space="0" w:color="auto"/>
    </w:rPr>
  </w:style>
  <w:style w:type="paragraph" w:customStyle="1" w:styleId="wp-block-paragraph">
    <w:name w:val="wp-block-paragraph"/>
    <w:basedOn w:val="Normln"/>
    <w:rsid w:val="00704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9014635">
      <w:bodyDiv w:val="1"/>
      <w:marLeft w:val="0"/>
      <w:marRight w:val="0"/>
      <w:marTop w:val="0"/>
      <w:marBottom w:val="0"/>
      <w:divBdr>
        <w:top w:val="none" w:sz="0" w:space="0" w:color="auto"/>
        <w:left w:val="none" w:sz="0" w:space="0" w:color="auto"/>
        <w:bottom w:val="none" w:sz="0" w:space="0" w:color="auto"/>
        <w:right w:val="none" w:sz="0" w:space="0" w:color="auto"/>
      </w:divBdr>
    </w:div>
    <w:div w:id="1155728027">
      <w:bodyDiv w:val="1"/>
      <w:marLeft w:val="0"/>
      <w:marRight w:val="0"/>
      <w:marTop w:val="0"/>
      <w:marBottom w:val="0"/>
      <w:divBdr>
        <w:top w:val="none" w:sz="0" w:space="0" w:color="auto"/>
        <w:left w:val="none" w:sz="0" w:space="0" w:color="auto"/>
        <w:bottom w:val="none" w:sz="0" w:space="0" w:color="auto"/>
        <w:right w:val="none" w:sz="0" w:space="0" w:color="auto"/>
      </w:divBdr>
    </w:div>
    <w:div w:id="1308240069">
      <w:bodyDiv w:val="1"/>
      <w:marLeft w:val="0"/>
      <w:marRight w:val="0"/>
      <w:marTop w:val="0"/>
      <w:marBottom w:val="0"/>
      <w:divBdr>
        <w:top w:val="none" w:sz="0" w:space="0" w:color="auto"/>
        <w:left w:val="none" w:sz="0" w:space="0" w:color="auto"/>
        <w:bottom w:val="none" w:sz="0" w:space="0" w:color="auto"/>
        <w:right w:val="none" w:sz="0" w:space="0" w:color="auto"/>
      </w:divBdr>
    </w:div>
    <w:div w:id="1379009666">
      <w:bodyDiv w:val="1"/>
      <w:marLeft w:val="0"/>
      <w:marRight w:val="0"/>
      <w:marTop w:val="0"/>
      <w:marBottom w:val="0"/>
      <w:divBdr>
        <w:top w:val="none" w:sz="0" w:space="0" w:color="auto"/>
        <w:left w:val="none" w:sz="0" w:space="0" w:color="auto"/>
        <w:bottom w:val="none" w:sz="0" w:space="0" w:color="auto"/>
        <w:right w:val="none" w:sz="0" w:space="0" w:color="auto"/>
      </w:divBdr>
    </w:div>
    <w:div w:id="1494222229">
      <w:bodyDiv w:val="1"/>
      <w:marLeft w:val="0"/>
      <w:marRight w:val="0"/>
      <w:marTop w:val="0"/>
      <w:marBottom w:val="0"/>
      <w:divBdr>
        <w:top w:val="none" w:sz="0" w:space="0" w:color="auto"/>
        <w:left w:val="none" w:sz="0" w:space="0" w:color="auto"/>
        <w:bottom w:val="none" w:sz="0" w:space="0" w:color="auto"/>
        <w:right w:val="none" w:sz="0" w:space="0" w:color="auto"/>
      </w:divBdr>
    </w:div>
    <w:div w:id="1649632590">
      <w:bodyDiv w:val="1"/>
      <w:marLeft w:val="0"/>
      <w:marRight w:val="0"/>
      <w:marTop w:val="0"/>
      <w:marBottom w:val="0"/>
      <w:divBdr>
        <w:top w:val="none" w:sz="0" w:space="0" w:color="auto"/>
        <w:left w:val="none" w:sz="0" w:space="0" w:color="auto"/>
        <w:bottom w:val="none" w:sz="0" w:space="0" w:color="auto"/>
        <w:right w:val="none" w:sz="0" w:space="0" w:color="auto"/>
      </w:divBdr>
    </w:div>
    <w:div w:id="2083331958">
      <w:bodyDiv w:val="1"/>
      <w:marLeft w:val="0"/>
      <w:marRight w:val="0"/>
      <w:marTop w:val="0"/>
      <w:marBottom w:val="0"/>
      <w:divBdr>
        <w:top w:val="none" w:sz="0" w:space="0" w:color="auto"/>
        <w:left w:val="none" w:sz="0" w:space="0" w:color="auto"/>
        <w:bottom w:val="none" w:sz="0" w:space="0" w:color="auto"/>
        <w:right w:val="none" w:sz="0" w:space="0" w:color="auto"/>
      </w:divBdr>
    </w:div>
    <w:div w:id="214527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eality.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ADEC-588D-4F9F-B3B7-49A5B357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604</Words>
  <Characters>3570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Dvorakova, Petra</dc:creator>
  <cp:lastModifiedBy>Kristýna Hořovská</cp:lastModifiedBy>
  <cp:revision>5</cp:revision>
  <dcterms:created xsi:type="dcterms:W3CDTF">2021-06-10T06:13:00Z</dcterms:created>
  <dcterms:modified xsi:type="dcterms:W3CDTF">2026-08-06T05:48:00Z</dcterms:modified>
</cp:coreProperties>
</file>